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D6579" w14:textId="77777777" w:rsidR="007D0826" w:rsidRPr="00AE2566" w:rsidRDefault="00A217E2" w:rsidP="00421399">
      <w:pPr>
        <w:pStyle w:val="a3"/>
        <w:jc w:val="center"/>
        <w:rPr>
          <w:rFonts w:ascii="Times New Roman" w:eastAsia="Times New Roman" w:hAnsi="Times New Roman" w:cs="Times New Roman"/>
          <w:b/>
          <w:bCs/>
          <w:sz w:val="24"/>
          <w:szCs w:val="24"/>
          <w:lang w:eastAsia="uk-UA"/>
        </w:rPr>
      </w:pPr>
      <w:r w:rsidRPr="00AE2566">
        <w:rPr>
          <w:rFonts w:ascii="Times New Roman" w:eastAsia="Times New Roman" w:hAnsi="Times New Roman" w:cs="Times New Roman"/>
          <w:b/>
          <w:bCs/>
          <w:sz w:val="24"/>
          <w:szCs w:val="24"/>
          <w:lang w:eastAsia="uk-UA"/>
        </w:rPr>
        <w:t>Комерційна пропозиція № 2</w:t>
      </w:r>
    </w:p>
    <w:p w14:paraId="33FA8CA7" w14:textId="34E6AC20" w:rsidR="00CC03BE" w:rsidRPr="00AE2566" w:rsidRDefault="00A217E2" w:rsidP="00421399">
      <w:pPr>
        <w:pStyle w:val="a3"/>
        <w:jc w:val="center"/>
        <w:rPr>
          <w:rFonts w:ascii="Times New Roman" w:hAnsi="Times New Roman" w:cs="Times New Roman"/>
          <w:b/>
          <w:i/>
          <w:sz w:val="24"/>
          <w:szCs w:val="24"/>
        </w:rPr>
      </w:pPr>
      <w:r w:rsidRPr="00AE2566">
        <w:rPr>
          <w:rFonts w:ascii="Times New Roman" w:eastAsia="Times New Roman" w:hAnsi="Times New Roman" w:cs="Times New Roman"/>
          <w:b/>
          <w:bCs/>
          <w:sz w:val="24"/>
          <w:szCs w:val="24"/>
          <w:lang w:eastAsia="uk-UA"/>
        </w:rPr>
        <w:t>«Для побутових потреб (по факту)</w:t>
      </w:r>
      <w:r w:rsidR="00CA22FC" w:rsidRPr="00AE2566">
        <w:rPr>
          <w:rFonts w:ascii="Times New Roman" w:eastAsia="Times New Roman" w:hAnsi="Times New Roman" w:cs="Times New Roman"/>
          <w:b/>
          <w:bCs/>
          <w:sz w:val="24"/>
          <w:szCs w:val="24"/>
          <w:lang w:eastAsia="uk-UA"/>
        </w:rPr>
        <w:t xml:space="preserve"> </w:t>
      </w:r>
      <w:r w:rsidR="00CA22FC" w:rsidRPr="00AE2566">
        <w:rPr>
          <w:rFonts w:ascii="Times New Roman" w:hAnsi="Times New Roman" w:cs="Times New Roman"/>
          <w:b/>
          <w:i/>
          <w:sz w:val="24"/>
          <w:szCs w:val="24"/>
        </w:rPr>
        <w:t>із застосуванням ціни, не диференційованої за періодами часу (годинами) доби</w:t>
      </w:r>
      <w:r w:rsidRPr="00AE2566">
        <w:rPr>
          <w:rFonts w:ascii="Times New Roman" w:eastAsia="Times New Roman" w:hAnsi="Times New Roman" w:cs="Times New Roman"/>
          <w:b/>
          <w:bCs/>
          <w:sz w:val="24"/>
          <w:szCs w:val="24"/>
          <w:lang w:eastAsia="uk-UA"/>
        </w:rPr>
        <w:t>»</w:t>
      </w:r>
      <w:r w:rsidR="007D0826" w:rsidRPr="00AE2566">
        <w:rPr>
          <w:rFonts w:ascii="Times New Roman" w:eastAsia="Times New Roman" w:hAnsi="Times New Roman" w:cs="Times New Roman"/>
          <w:b/>
          <w:bCs/>
          <w:sz w:val="24"/>
          <w:szCs w:val="24"/>
          <w:lang w:eastAsia="uk-UA"/>
        </w:rPr>
        <w:t xml:space="preserve"> </w:t>
      </w:r>
      <w:r w:rsidR="007A3D76" w:rsidRPr="00AE2566">
        <w:rPr>
          <w:rFonts w:ascii="Times New Roman" w:eastAsia="Times New Roman" w:hAnsi="Times New Roman" w:cs="Times New Roman"/>
          <w:b/>
          <w:sz w:val="24"/>
          <w:szCs w:val="24"/>
          <w:lang w:eastAsia="uk-UA"/>
        </w:rPr>
        <w:t xml:space="preserve">з </w:t>
      </w:r>
      <w:r w:rsidR="00671A1A" w:rsidRPr="007432FC">
        <w:rPr>
          <w:rFonts w:ascii="Times New Roman" w:eastAsia="Times New Roman" w:hAnsi="Times New Roman" w:cs="Times New Roman"/>
          <w:b/>
          <w:sz w:val="24"/>
          <w:szCs w:val="24"/>
          <w:lang w:eastAsia="uk-UA"/>
        </w:rPr>
        <w:t>01 червня  2024 року  по 30 квітня 2025 року</w:t>
      </w:r>
      <w:r w:rsidR="00671A1A" w:rsidRPr="00B33073">
        <w:rPr>
          <w:rFonts w:ascii="Times New Roman" w:eastAsia="Times New Roman" w:hAnsi="Times New Roman" w:cs="Times New Roman"/>
          <w:b/>
          <w:sz w:val="24"/>
          <w:szCs w:val="24"/>
          <w:lang w:eastAsia="uk-UA"/>
        </w:rPr>
        <w:t xml:space="preserve"> </w:t>
      </w:r>
      <w:r w:rsidR="007A3D76" w:rsidRPr="00AE2566">
        <w:rPr>
          <w:rFonts w:ascii="Times New Roman" w:eastAsia="Times New Roman" w:hAnsi="Times New Roman" w:cs="Times New Roman"/>
          <w:b/>
          <w:sz w:val="24"/>
          <w:szCs w:val="24"/>
          <w:lang w:eastAsia="uk-UA"/>
        </w:rPr>
        <w:t>включно</w:t>
      </w:r>
    </w:p>
    <w:p w14:paraId="2DF2B744" w14:textId="77777777" w:rsidR="007D0826" w:rsidRPr="00AE2566" w:rsidRDefault="007D0826" w:rsidP="00421399">
      <w:pPr>
        <w:pStyle w:val="a3"/>
        <w:jc w:val="center"/>
        <w:rPr>
          <w:rFonts w:ascii="Times New Roman" w:hAnsi="Times New Roman" w:cs="Times New Roman"/>
          <w:b/>
          <w:i/>
          <w:sz w:val="24"/>
          <w:szCs w:val="24"/>
        </w:rPr>
      </w:pPr>
    </w:p>
    <w:p w14:paraId="536D78F4" w14:textId="77777777" w:rsidR="00A217E2" w:rsidRPr="00AE2566" w:rsidRDefault="00A217E2" w:rsidP="00CC03BE">
      <w:pPr>
        <w:pStyle w:val="a3"/>
        <w:rPr>
          <w:rFonts w:ascii="Times New Roman" w:eastAsia="Times New Roman" w:hAnsi="Times New Roman" w:cs="Times New Roman"/>
          <w:sz w:val="24"/>
          <w:szCs w:val="24"/>
          <w:lang w:eastAsia="uk-UA"/>
        </w:rPr>
      </w:pPr>
      <w:r w:rsidRPr="00AE2566">
        <w:rPr>
          <w:rFonts w:ascii="Times New Roman" w:eastAsia="Times New Roman" w:hAnsi="Times New Roman" w:cs="Times New Roman"/>
          <w:b/>
          <w:bCs/>
          <w:i/>
          <w:iCs/>
          <w:sz w:val="24"/>
          <w:szCs w:val="24"/>
          <w:lang w:eastAsia="uk-UA"/>
        </w:rPr>
        <w:t>В якості постачальника електричної енергії ТОВ "ПРИКАРПАТЕНЕРГОТРЕЙД" пропонує споживачам:</w:t>
      </w:r>
    </w:p>
    <w:tbl>
      <w:tblPr>
        <w:tblW w:w="10224"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95"/>
        <w:gridCol w:w="7029"/>
      </w:tblGrid>
      <w:tr w:rsidR="004A6EDA" w:rsidRPr="00D5475F" w14:paraId="32A1D57D" w14:textId="77777777" w:rsidTr="00901A27">
        <w:tc>
          <w:tcPr>
            <w:tcW w:w="3195"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29C60CE5" w14:textId="77777777" w:rsidR="00A217E2" w:rsidRPr="00D5475F" w:rsidRDefault="00225A94" w:rsidP="00E44DFB">
            <w:pPr>
              <w:pStyle w:val="a3"/>
              <w:rPr>
                <w:rFonts w:ascii="Times New Roman" w:hAnsi="Times New Roman" w:cs="Times New Roman"/>
                <w:lang w:eastAsia="uk-UA"/>
              </w:rPr>
            </w:pPr>
            <w:r w:rsidRPr="00D5475F">
              <w:rPr>
                <w:rFonts w:ascii="Times New Roman" w:hAnsi="Times New Roman" w:cs="Times New Roman"/>
                <w:lang w:val="en-US" w:eastAsia="uk-UA"/>
              </w:rPr>
              <w:t>1.</w:t>
            </w:r>
            <w:r w:rsidR="00A217E2" w:rsidRPr="00D5475F">
              <w:rPr>
                <w:rFonts w:ascii="Times New Roman" w:hAnsi="Times New Roman" w:cs="Times New Roman"/>
                <w:lang w:eastAsia="uk-UA"/>
              </w:rPr>
              <w:t xml:space="preserve">Ця комерційна пропозиція застосовується для </w:t>
            </w:r>
            <w:r w:rsidR="00E030BB" w:rsidRPr="00D5475F">
              <w:rPr>
                <w:rFonts w:ascii="Times New Roman" w:hAnsi="Times New Roman" w:cs="Times New Roman"/>
                <w:lang w:eastAsia="uk-UA"/>
              </w:rPr>
              <w:t xml:space="preserve">наступних </w:t>
            </w:r>
            <w:r w:rsidR="00A217E2" w:rsidRPr="00D5475F">
              <w:rPr>
                <w:rFonts w:ascii="Times New Roman" w:hAnsi="Times New Roman" w:cs="Times New Roman"/>
                <w:lang w:eastAsia="uk-UA"/>
              </w:rPr>
              <w:t>споживачів</w:t>
            </w:r>
          </w:p>
        </w:tc>
        <w:tc>
          <w:tcPr>
            <w:tcW w:w="7029"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2DE98861" w14:textId="77777777" w:rsidR="00E030BB" w:rsidRPr="00D5475F" w:rsidRDefault="00F341D2" w:rsidP="00E030BB">
            <w:pPr>
              <w:pStyle w:val="a3"/>
              <w:numPr>
                <w:ilvl w:val="1"/>
                <w:numId w:val="15"/>
              </w:numPr>
              <w:tabs>
                <w:tab w:val="left" w:pos="211"/>
              </w:tabs>
              <w:ind w:left="70" w:hanging="70"/>
              <w:jc w:val="both"/>
              <w:rPr>
                <w:rFonts w:ascii="Times New Roman" w:hAnsi="Times New Roman" w:cs="Times New Roman"/>
                <w:lang w:eastAsia="uk-UA"/>
              </w:rPr>
            </w:pPr>
            <w:r w:rsidRPr="00D5475F">
              <w:rPr>
                <w:rFonts w:ascii="Times New Roman" w:hAnsi="Times New Roman" w:cs="Times New Roman"/>
                <w:lang w:eastAsia="uk-UA"/>
              </w:rPr>
              <w:t>Ю</w:t>
            </w:r>
            <w:r w:rsidR="00A217E2" w:rsidRPr="00D5475F">
              <w:rPr>
                <w:rFonts w:ascii="Times New Roman" w:hAnsi="Times New Roman" w:cs="Times New Roman"/>
                <w:lang w:eastAsia="uk-UA"/>
              </w:rPr>
              <w:t>ридичних осіб, які є власниками (балансоутримувачами) майна, що використовується для компактного поселення внутрішньо переміщених осіб (гуртожитки, оздоровчі табори) в частині задоволення власних побутових потреб внутрішньо переміщених осіб;</w:t>
            </w:r>
          </w:p>
          <w:p w14:paraId="7321CD3F" w14:textId="77777777" w:rsidR="00A217E2" w:rsidRPr="00D5475F" w:rsidRDefault="002C32F4" w:rsidP="002C32F4">
            <w:pPr>
              <w:pStyle w:val="a3"/>
              <w:ind w:left="70"/>
              <w:jc w:val="both"/>
              <w:rPr>
                <w:rFonts w:ascii="Times New Roman" w:hAnsi="Times New Roman" w:cs="Times New Roman"/>
                <w:lang w:eastAsia="uk-UA"/>
              </w:rPr>
            </w:pPr>
            <w:r w:rsidRPr="00D5475F">
              <w:rPr>
                <w:rFonts w:ascii="Times New Roman" w:hAnsi="Times New Roman" w:cs="Times New Roman"/>
              </w:rPr>
              <w:t>1.2.</w:t>
            </w:r>
            <w:r w:rsidR="000A48BB" w:rsidRPr="00D5475F">
              <w:rPr>
                <w:rFonts w:ascii="Times New Roman" w:hAnsi="Times New Roman" w:cs="Times New Roman"/>
              </w:rPr>
              <w:t xml:space="preserve"> Колективних побутових споживачів в тому числі у гуртожитках, що розраховуються за електричну енергію за загальним розрахунковим засобом обліку в частині споживання електричної енергії фізичними особами для задоволення власних побутових потреб, які не включають професійну та/або господарську діяльність</w:t>
            </w:r>
            <w:r w:rsidR="000A48BB" w:rsidRPr="00D5475F">
              <w:rPr>
                <w:rFonts w:ascii="Times New Roman" w:hAnsi="Times New Roman" w:cs="Times New Roman"/>
                <w:lang w:val="ru-RU"/>
              </w:rPr>
              <w:t>;</w:t>
            </w:r>
            <w:r w:rsidR="000A48BB" w:rsidRPr="00D5475F">
              <w:rPr>
                <w:rFonts w:ascii="Times New Roman" w:hAnsi="Times New Roman" w:cs="Times New Roman"/>
              </w:rPr>
              <w:t xml:space="preserve"> </w:t>
            </w:r>
            <w:r w:rsidR="00A217E2" w:rsidRPr="00D5475F">
              <w:rPr>
                <w:rFonts w:ascii="Times New Roman" w:hAnsi="Times New Roman" w:cs="Times New Roman"/>
                <w:lang w:eastAsia="uk-UA"/>
              </w:rPr>
              <w:t xml:space="preserve"> </w:t>
            </w:r>
          </w:p>
          <w:p w14:paraId="72CBEC2F" w14:textId="77777777" w:rsidR="00A217E2" w:rsidRPr="00D5475F" w:rsidRDefault="002C32F4" w:rsidP="00FA443F">
            <w:pPr>
              <w:pStyle w:val="a3"/>
              <w:jc w:val="both"/>
              <w:rPr>
                <w:rFonts w:ascii="Times New Roman" w:hAnsi="Times New Roman" w:cs="Times New Roman"/>
                <w:lang w:eastAsia="uk-UA"/>
              </w:rPr>
            </w:pPr>
            <w:r w:rsidRPr="00D5475F">
              <w:rPr>
                <w:rFonts w:ascii="Times New Roman" w:hAnsi="Times New Roman" w:cs="Times New Roman"/>
                <w:lang w:eastAsia="uk-UA"/>
              </w:rPr>
              <w:t>1.3</w:t>
            </w:r>
            <w:r w:rsidR="007E4418" w:rsidRPr="00D5475F">
              <w:rPr>
                <w:rFonts w:ascii="Times New Roman" w:hAnsi="Times New Roman" w:cs="Times New Roman"/>
                <w:lang w:eastAsia="uk-UA"/>
              </w:rPr>
              <w:t>. С</w:t>
            </w:r>
            <w:r w:rsidR="00A217E2" w:rsidRPr="00D5475F">
              <w:rPr>
                <w:rFonts w:ascii="Times New Roman" w:hAnsi="Times New Roman" w:cs="Times New Roman"/>
                <w:lang w:eastAsia="uk-UA"/>
              </w:rPr>
              <w:t>поживачів-суб'єктів господарювання, предметом діяльності яких є надання житлово-комунальних послуг населенню</w:t>
            </w:r>
            <w:r w:rsidR="0014680F" w:rsidRPr="00D5475F">
              <w:rPr>
                <w:rFonts w:ascii="Times New Roman" w:hAnsi="Times New Roman" w:cs="Times New Roman"/>
                <w:lang w:eastAsia="uk-UA"/>
              </w:rPr>
              <w:t xml:space="preserve"> </w:t>
            </w:r>
            <w:r w:rsidR="00FA443F" w:rsidRPr="00D5475F">
              <w:rPr>
                <w:rFonts w:ascii="Times New Roman" w:hAnsi="Times New Roman" w:cs="Times New Roman"/>
              </w:rPr>
              <w:t>(аварійне та евакуаційне освітлення, роботу індивідуальних теплових пунктів, котелень, ліфтів, насосів, замково-переговорних пристроїв, протипожежних систем, систем вентиляції, димовидалення та кондиціонування, систем сигналізації, авіаційних маяків, що належать власникам квартир багатоквартирного будинку на праві спільної власності</w:t>
            </w:r>
            <w:r w:rsidR="00FA443F" w:rsidRPr="00D5475F">
              <w:rPr>
                <w:rFonts w:ascii="Times New Roman" w:hAnsi="Times New Roman" w:cs="Times New Roman"/>
                <w:shd w:val="clear" w:color="auto" w:fill="FFFFFF"/>
              </w:rPr>
              <w:t>)</w:t>
            </w:r>
            <w:r w:rsidR="0014680F" w:rsidRPr="00D5475F">
              <w:rPr>
                <w:rFonts w:ascii="Times New Roman" w:hAnsi="Times New Roman" w:cs="Times New Roman"/>
                <w:lang w:eastAsia="uk-UA"/>
              </w:rPr>
              <w:t xml:space="preserve"> та освітлення дворів, східців і номерних знаків</w:t>
            </w:r>
            <w:r w:rsidR="00265334" w:rsidRPr="00D5475F">
              <w:rPr>
                <w:rFonts w:ascii="Times New Roman" w:hAnsi="Times New Roman" w:cs="Times New Roman"/>
                <w:lang w:eastAsia="uk-UA"/>
              </w:rPr>
              <w:t>)</w:t>
            </w:r>
            <w:r w:rsidR="0014680F" w:rsidRPr="00D5475F">
              <w:rPr>
                <w:rFonts w:ascii="Times New Roman" w:hAnsi="Times New Roman" w:cs="Times New Roman"/>
                <w:lang w:eastAsia="uk-UA"/>
              </w:rPr>
              <w:t>;</w:t>
            </w:r>
          </w:p>
          <w:p w14:paraId="1430C27C" w14:textId="77777777" w:rsidR="00A217E2" w:rsidRPr="00D5475F" w:rsidRDefault="002C32F4" w:rsidP="00E44DFB">
            <w:pPr>
              <w:pStyle w:val="a3"/>
              <w:rPr>
                <w:rFonts w:ascii="Times New Roman" w:hAnsi="Times New Roman" w:cs="Times New Roman"/>
                <w:lang w:val="ru-RU" w:eastAsia="uk-UA"/>
              </w:rPr>
            </w:pPr>
            <w:r w:rsidRPr="00D5475F">
              <w:rPr>
                <w:rFonts w:ascii="Times New Roman" w:hAnsi="Times New Roman" w:cs="Times New Roman"/>
                <w:lang w:eastAsia="uk-UA"/>
              </w:rPr>
              <w:t>1.4</w:t>
            </w:r>
            <w:r w:rsidR="007E4418" w:rsidRPr="00D5475F">
              <w:rPr>
                <w:rFonts w:ascii="Times New Roman" w:hAnsi="Times New Roman" w:cs="Times New Roman"/>
                <w:shd w:val="clear" w:color="auto" w:fill="FFFFFF"/>
              </w:rPr>
              <w:t xml:space="preserve"> Дачних та дачно-будівельних кооперативів, садових товариств, гаражно-будівельних кооперативів  на технічні цілі (роботу насосів) та освітлення території</w:t>
            </w:r>
            <w:r w:rsidR="007E4418" w:rsidRPr="00D5475F">
              <w:rPr>
                <w:rFonts w:ascii="Times New Roman" w:hAnsi="Times New Roman" w:cs="Times New Roman"/>
                <w:shd w:val="clear" w:color="auto" w:fill="FFFFFF"/>
                <w:lang w:val="ru-RU"/>
              </w:rPr>
              <w:t>;</w:t>
            </w:r>
          </w:p>
          <w:p w14:paraId="2DA1C8D1" w14:textId="77777777" w:rsidR="00A217E2" w:rsidRPr="00D5475F" w:rsidRDefault="002C32F4" w:rsidP="004A6EDA">
            <w:pPr>
              <w:pStyle w:val="a3"/>
              <w:rPr>
                <w:rFonts w:ascii="Times New Roman" w:hAnsi="Times New Roman" w:cs="Times New Roman"/>
                <w:lang w:eastAsia="uk-UA"/>
              </w:rPr>
            </w:pPr>
            <w:r w:rsidRPr="00D5475F">
              <w:rPr>
                <w:rFonts w:ascii="Times New Roman" w:hAnsi="Times New Roman" w:cs="Times New Roman"/>
                <w:lang w:eastAsia="uk-UA"/>
              </w:rPr>
              <w:t>1.5</w:t>
            </w:r>
            <w:r w:rsidR="00A217E2" w:rsidRPr="00D5475F">
              <w:rPr>
                <w:rFonts w:ascii="Times New Roman" w:hAnsi="Times New Roman" w:cs="Times New Roman"/>
                <w:lang w:eastAsia="uk-UA"/>
              </w:rPr>
              <w:t xml:space="preserve">. </w:t>
            </w:r>
            <w:r w:rsidR="007E4418" w:rsidRPr="00D5475F">
              <w:rPr>
                <w:rFonts w:ascii="Times New Roman" w:hAnsi="Times New Roman" w:cs="Times New Roman"/>
                <w:shd w:val="clear" w:color="auto" w:fill="FFFFFF"/>
              </w:rPr>
              <w:t>Релігійних організацій в частині споживання електричної енергії на комунально-побутові потреби.</w:t>
            </w:r>
          </w:p>
        </w:tc>
      </w:tr>
      <w:tr w:rsidR="004A6EDA" w:rsidRPr="00D5475F" w14:paraId="29893ACC" w14:textId="77777777" w:rsidTr="003C2C23">
        <w:trPr>
          <w:trHeight w:val="2217"/>
        </w:trPr>
        <w:tc>
          <w:tcPr>
            <w:tcW w:w="3195"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0587F4E8" w14:textId="77777777" w:rsidR="00A217E2" w:rsidRPr="00D5475F" w:rsidRDefault="00225A94" w:rsidP="00E44DFB">
            <w:pPr>
              <w:pStyle w:val="a3"/>
              <w:rPr>
                <w:rFonts w:ascii="Times New Roman" w:hAnsi="Times New Roman" w:cs="Times New Roman"/>
                <w:lang w:eastAsia="uk-UA"/>
              </w:rPr>
            </w:pPr>
            <w:r w:rsidRPr="00D5475F">
              <w:rPr>
                <w:rFonts w:ascii="Times New Roman" w:hAnsi="Times New Roman" w:cs="Times New Roman"/>
                <w:lang w:val="en-US" w:eastAsia="uk-UA"/>
              </w:rPr>
              <w:t>2.</w:t>
            </w:r>
            <w:r w:rsidR="00A217E2" w:rsidRPr="00D5475F">
              <w:rPr>
                <w:rFonts w:ascii="Times New Roman" w:hAnsi="Times New Roman" w:cs="Times New Roman"/>
                <w:lang w:eastAsia="uk-UA"/>
              </w:rPr>
              <w:t>Ціна (тариф) електричної енергії</w:t>
            </w:r>
          </w:p>
        </w:tc>
        <w:tc>
          <w:tcPr>
            <w:tcW w:w="7029"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4BCB0940" w14:textId="77777777" w:rsidR="003C0CD1" w:rsidRPr="00D5475F" w:rsidRDefault="00A217E2" w:rsidP="00E44DFB">
            <w:pPr>
              <w:pStyle w:val="a3"/>
              <w:rPr>
                <w:rFonts w:ascii="Times New Roman" w:hAnsi="Times New Roman" w:cs="Times New Roman"/>
                <w:lang w:val="en-US"/>
              </w:rPr>
            </w:pPr>
            <w:r w:rsidRPr="00D5475F">
              <w:rPr>
                <w:rFonts w:ascii="Times New Roman" w:hAnsi="Times New Roman" w:cs="Times New Roman"/>
                <w:lang w:eastAsia="uk-UA"/>
              </w:rPr>
              <w:t>2.1</w:t>
            </w:r>
            <w:r w:rsidR="002B2FEE" w:rsidRPr="00D5475F">
              <w:rPr>
                <w:rFonts w:ascii="Times New Roman" w:hAnsi="Times New Roman" w:cs="Times New Roman"/>
              </w:rPr>
              <w:t xml:space="preserve"> Відповідно до постанови Кабінету Міністрів України № 483 від 05 червня 2019 (</w:t>
            </w:r>
            <w:r w:rsidR="00187EDB" w:rsidRPr="00D5475F">
              <w:rPr>
                <w:rFonts w:ascii="Times New Roman" w:hAnsi="Times New Roman" w:cs="Times New Roman"/>
              </w:rPr>
              <w:t>зі змінами</w:t>
            </w:r>
            <w:r w:rsidR="002B2FEE" w:rsidRPr="00D5475F">
              <w:rPr>
                <w:rFonts w:ascii="Times New Roman" w:hAnsi="Times New Roman" w:cs="Times New Roman"/>
              </w:rPr>
              <w:t>)</w:t>
            </w:r>
            <w:r w:rsidR="00187EDB" w:rsidRPr="00D5475F">
              <w:rPr>
                <w:rFonts w:ascii="Times New Roman" w:hAnsi="Times New Roman" w:cs="Times New Roman"/>
              </w:rPr>
              <w:t xml:space="preserve"> </w:t>
            </w:r>
            <w:r w:rsidR="003C0CD1" w:rsidRPr="00D5475F">
              <w:rPr>
                <w:rFonts w:ascii="Times New Roman" w:hAnsi="Times New Roman" w:cs="Times New Roman"/>
                <w:shd w:val="clear" w:color="auto" w:fill="FFFFFF"/>
              </w:rPr>
              <w:t>фіксована ціна на електричну енергію  становить</w:t>
            </w:r>
            <w:r w:rsidR="002D5500" w:rsidRPr="00D5475F">
              <w:rPr>
                <w:rFonts w:ascii="Times New Roman" w:hAnsi="Times New Roman" w:cs="Times New Roman"/>
                <w:lang w:val="en-US"/>
              </w:rPr>
              <w:t>:</w:t>
            </w:r>
          </w:p>
          <w:tbl>
            <w:tblPr>
              <w:tblW w:w="6586" w:type="dxa"/>
              <w:jc w:val="center"/>
              <w:tblLook w:val="04A0" w:firstRow="1" w:lastRow="0" w:firstColumn="1" w:lastColumn="0" w:noHBand="0" w:noVBand="1"/>
            </w:tblPr>
            <w:tblGrid>
              <w:gridCol w:w="2747"/>
              <w:gridCol w:w="1424"/>
              <w:gridCol w:w="2415"/>
            </w:tblGrid>
            <w:tr w:rsidR="00892E78" w:rsidRPr="00892E78" w14:paraId="09FD6087" w14:textId="77777777" w:rsidTr="00892E78">
              <w:trPr>
                <w:trHeight w:val="20"/>
                <w:jc w:val="center"/>
              </w:trPr>
              <w:tc>
                <w:tcPr>
                  <w:tcW w:w="2747" w:type="dxa"/>
                  <w:tcBorders>
                    <w:top w:val="single" w:sz="4" w:space="0" w:color="auto"/>
                    <w:left w:val="single" w:sz="4" w:space="0" w:color="auto"/>
                    <w:bottom w:val="single" w:sz="4" w:space="0" w:color="auto"/>
                    <w:right w:val="single" w:sz="4" w:space="0" w:color="auto"/>
                  </w:tcBorders>
                  <w:vAlign w:val="center"/>
                  <w:hideMark/>
                </w:tcPr>
                <w:p w14:paraId="6CAF8C54" w14:textId="77777777" w:rsidR="00892E78" w:rsidRPr="00892E78" w:rsidRDefault="00892E78" w:rsidP="00892E78">
                  <w:pPr>
                    <w:pStyle w:val="a4"/>
                    <w:widowControl w:val="0"/>
                    <w:spacing w:before="60" w:line="228" w:lineRule="auto"/>
                    <w:ind w:firstLine="0"/>
                    <w:jc w:val="center"/>
                    <w:rPr>
                      <w:rFonts w:ascii="Times New Roman" w:hAnsi="Times New Roman"/>
                      <w:b/>
                      <w:sz w:val="18"/>
                      <w:szCs w:val="18"/>
                    </w:rPr>
                  </w:pPr>
                  <w:r w:rsidRPr="00892E78">
                    <w:rPr>
                      <w:rFonts w:ascii="Times New Roman" w:hAnsi="Times New Roman"/>
                      <w:b/>
                      <w:sz w:val="18"/>
                      <w:szCs w:val="18"/>
                    </w:rPr>
                    <w:t>Місячний обсяг споживання</w:t>
                  </w:r>
                </w:p>
              </w:tc>
              <w:tc>
                <w:tcPr>
                  <w:tcW w:w="1424" w:type="dxa"/>
                  <w:tcBorders>
                    <w:top w:val="single" w:sz="4" w:space="0" w:color="auto"/>
                    <w:left w:val="single" w:sz="4" w:space="0" w:color="auto"/>
                    <w:bottom w:val="single" w:sz="4" w:space="0" w:color="auto"/>
                    <w:right w:val="single" w:sz="4" w:space="0" w:color="auto"/>
                  </w:tcBorders>
                  <w:vAlign w:val="center"/>
                  <w:hideMark/>
                </w:tcPr>
                <w:p w14:paraId="25A771D2" w14:textId="77777777" w:rsidR="00892E78" w:rsidRPr="00892E78" w:rsidRDefault="00892E78" w:rsidP="00892E78">
                  <w:pPr>
                    <w:pStyle w:val="a4"/>
                    <w:widowControl w:val="0"/>
                    <w:spacing w:before="60" w:line="228" w:lineRule="auto"/>
                    <w:ind w:firstLine="0"/>
                    <w:jc w:val="center"/>
                    <w:rPr>
                      <w:rFonts w:ascii="Times New Roman" w:hAnsi="Times New Roman"/>
                      <w:b/>
                      <w:sz w:val="18"/>
                      <w:szCs w:val="18"/>
                    </w:rPr>
                  </w:pPr>
                  <w:r w:rsidRPr="00892E78">
                    <w:rPr>
                      <w:rFonts w:ascii="Times New Roman" w:hAnsi="Times New Roman"/>
                      <w:b/>
                      <w:sz w:val="18"/>
                      <w:szCs w:val="18"/>
                      <w:lang w:eastAsia="uk-UA"/>
                    </w:rPr>
                    <w:t>Ціна грн/кВт*год без ПДВ</w:t>
                  </w:r>
                </w:p>
              </w:tc>
              <w:tc>
                <w:tcPr>
                  <w:tcW w:w="2415" w:type="dxa"/>
                  <w:tcBorders>
                    <w:top w:val="single" w:sz="4" w:space="0" w:color="auto"/>
                    <w:left w:val="single" w:sz="4" w:space="0" w:color="auto"/>
                    <w:right w:val="single" w:sz="4" w:space="0" w:color="auto"/>
                  </w:tcBorders>
                  <w:vAlign w:val="center"/>
                  <w:hideMark/>
                </w:tcPr>
                <w:p w14:paraId="23C65025" w14:textId="77777777" w:rsidR="00892E78" w:rsidRPr="00892E78" w:rsidRDefault="00892E78" w:rsidP="00892E78">
                  <w:pPr>
                    <w:pStyle w:val="a4"/>
                    <w:widowControl w:val="0"/>
                    <w:tabs>
                      <w:tab w:val="left" w:pos="266"/>
                    </w:tabs>
                    <w:spacing w:before="60" w:line="228" w:lineRule="auto"/>
                    <w:ind w:left="266" w:right="821" w:firstLine="0"/>
                    <w:jc w:val="center"/>
                    <w:rPr>
                      <w:rFonts w:ascii="Times New Roman" w:hAnsi="Times New Roman"/>
                      <w:b/>
                      <w:sz w:val="18"/>
                      <w:szCs w:val="18"/>
                    </w:rPr>
                  </w:pPr>
                  <w:r w:rsidRPr="00892E78">
                    <w:rPr>
                      <w:rFonts w:ascii="Times New Roman" w:hAnsi="Times New Roman"/>
                      <w:b/>
                      <w:sz w:val="18"/>
                      <w:szCs w:val="18"/>
                      <w:lang w:eastAsia="uk-UA"/>
                    </w:rPr>
                    <w:t>Ціна    грн/кВт*год  з  ПДВ</w:t>
                  </w:r>
                </w:p>
              </w:tc>
            </w:tr>
            <w:tr w:rsidR="00892E78" w:rsidRPr="00892E78" w14:paraId="35D2117E" w14:textId="77777777" w:rsidTr="00892E78">
              <w:trPr>
                <w:trHeight w:val="388"/>
                <w:jc w:val="center"/>
              </w:trPr>
              <w:tc>
                <w:tcPr>
                  <w:tcW w:w="2747" w:type="dxa"/>
                  <w:tcBorders>
                    <w:top w:val="single" w:sz="4" w:space="0" w:color="auto"/>
                    <w:left w:val="single" w:sz="4" w:space="0" w:color="auto"/>
                    <w:bottom w:val="single" w:sz="4" w:space="0" w:color="auto"/>
                    <w:right w:val="single" w:sz="4" w:space="0" w:color="auto"/>
                  </w:tcBorders>
                  <w:vAlign w:val="center"/>
                  <w:hideMark/>
                </w:tcPr>
                <w:p w14:paraId="1C376199" w14:textId="77777777" w:rsidR="00892E78" w:rsidRPr="00892E78" w:rsidRDefault="00892E78" w:rsidP="00892E78">
                  <w:pPr>
                    <w:pStyle w:val="a3"/>
                    <w:rPr>
                      <w:rFonts w:ascii="Times New Roman" w:hAnsi="Times New Roman" w:cs="Times New Roman"/>
                      <w:sz w:val="18"/>
                      <w:szCs w:val="18"/>
                    </w:rPr>
                  </w:pPr>
                  <w:r w:rsidRPr="00892E78">
                    <w:rPr>
                      <w:rFonts w:ascii="Times New Roman" w:hAnsi="Times New Roman" w:cs="Times New Roman"/>
                      <w:sz w:val="18"/>
                      <w:szCs w:val="18"/>
                    </w:rPr>
                    <w:t>За весь обсяг споживання для колективних побутових споживачів, а також споживачів (цілі споживання), які визначені в абзацах одинадцятому —чотирнадцятому пункту 13 розділу XVII “Прикінцеві та перехідні положення” Закону України “Про ринок електричної енергії” та для колективних побутових споживачів, які проживають в житлових будинках (у тому числі в житлових будинках готельного типу, квартирах), обладнаних в установленому порядку електроопалювальними установками:</w:t>
                  </w:r>
                </w:p>
                <w:p w14:paraId="63F336B1" w14:textId="13A7D8D1" w:rsidR="00892E78" w:rsidRPr="00892E78" w:rsidRDefault="00892E78" w:rsidP="00892E78">
                  <w:pPr>
                    <w:pStyle w:val="a3"/>
                    <w:rPr>
                      <w:rFonts w:ascii="Times New Roman" w:hAnsi="Times New Roman" w:cs="Times New Roman"/>
                      <w:sz w:val="18"/>
                      <w:szCs w:val="18"/>
                    </w:rPr>
                  </w:pPr>
                  <w:r w:rsidRPr="00892E78">
                    <w:rPr>
                      <w:rFonts w:ascii="Times New Roman" w:hAnsi="Times New Roman" w:cs="Times New Roman"/>
                      <w:sz w:val="18"/>
                      <w:szCs w:val="18"/>
                    </w:rPr>
                    <w:t xml:space="preserve"> у період з 1 червня по 30 вересня (включно);</w:t>
                  </w:r>
                </w:p>
              </w:tc>
              <w:tc>
                <w:tcPr>
                  <w:tcW w:w="1424" w:type="dxa"/>
                  <w:tcBorders>
                    <w:top w:val="single" w:sz="4" w:space="0" w:color="auto"/>
                    <w:left w:val="single" w:sz="4" w:space="0" w:color="auto"/>
                    <w:bottom w:val="single" w:sz="4" w:space="0" w:color="auto"/>
                    <w:right w:val="single" w:sz="4" w:space="0" w:color="auto"/>
                  </w:tcBorders>
                  <w:vAlign w:val="center"/>
                  <w:hideMark/>
                </w:tcPr>
                <w:p w14:paraId="0485FDD8" w14:textId="77777777" w:rsidR="00892E78" w:rsidRPr="00892E78" w:rsidRDefault="00892E78" w:rsidP="00892E78">
                  <w:pPr>
                    <w:pStyle w:val="a3"/>
                    <w:jc w:val="center"/>
                    <w:rPr>
                      <w:sz w:val="18"/>
                      <w:szCs w:val="18"/>
                    </w:rPr>
                  </w:pPr>
                  <w:r w:rsidRPr="00892E78">
                    <w:rPr>
                      <w:sz w:val="18"/>
                      <w:szCs w:val="18"/>
                    </w:rPr>
                    <w:t>3,6</w:t>
                  </w:r>
                </w:p>
              </w:tc>
              <w:tc>
                <w:tcPr>
                  <w:tcW w:w="2415" w:type="dxa"/>
                  <w:tcBorders>
                    <w:top w:val="single" w:sz="4" w:space="0" w:color="auto"/>
                    <w:left w:val="single" w:sz="4" w:space="0" w:color="auto"/>
                    <w:bottom w:val="single" w:sz="4" w:space="0" w:color="auto"/>
                    <w:right w:val="single" w:sz="4" w:space="0" w:color="auto"/>
                  </w:tcBorders>
                  <w:vAlign w:val="center"/>
                  <w:hideMark/>
                </w:tcPr>
                <w:p w14:paraId="2367FD45" w14:textId="77777777" w:rsidR="00892E78" w:rsidRPr="00892E78" w:rsidRDefault="00892E78" w:rsidP="00892E78">
                  <w:pPr>
                    <w:pStyle w:val="a3"/>
                    <w:jc w:val="center"/>
                    <w:rPr>
                      <w:sz w:val="18"/>
                      <w:szCs w:val="18"/>
                    </w:rPr>
                  </w:pPr>
                  <w:r w:rsidRPr="00892E78">
                    <w:rPr>
                      <w:sz w:val="18"/>
                      <w:szCs w:val="18"/>
                    </w:rPr>
                    <w:t>4,32</w:t>
                  </w:r>
                </w:p>
                <w:p w14:paraId="676C0393" w14:textId="77777777" w:rsidR="00892E78" w:rsidRPr="00892E78" w:rsidRDefault="00892E78" w:rsidP="00892E78">
                  <w:pPr>
                    <w:pStyle w:val="a3"/>
                    <w:jc w:val="center"/>
                    <w:rPr>
                      <w:sz w:val="18"/>
                      <w:szCs w:val="18"/>
                    </w:rPr>
                  </w:pPr>
                </w:p>
              </w:tc>
            </w:tr>
            <w:tr w:rsidR="00892E78" w:rsidRPr="00892E78" w14:paraId="427C33F7" w14:textId="77777777" w:rsidTr="00892E78">
              <w:trPr>
                <w:trHeight w:val="388"/>
                <w:jc w:val="center"/>
              </w:trPr>
              <w:tc>
                <w:tcPr>
                  <w:tcW w:w="2747" w:type="dxa"/>
                  <w:tcBorders>
                    <w:top w:val="single" w:sz="4" w:space="0" w:color="auto"/>
                    <w:left w:val="single" w:sz="4" w:space="0" w:color="auto"/>
                    <w:bottom w:val="single" w:sz="4" w:space="0" w:color="auto"/>
                    <w:right w:val="single" w:sz="4" w:space="0" w:color="auto"/>
                  </w:tcBorders>
                </w:tcPr>
                <w:p w14:paraId="7F1CCAF9" w14:textId="77777777" w:rsidR="00892E78" w:rsidRPr="00892E78" w:rsidRDefault="00892E78" w:rsidP="00892E78">
                  <w:pPr>
                    <w:pStyle w:val="a3"/>
                    <w:rPr>
                      <w:rFonts w:ascii="Times New Roman" w:hAnsi="Times New Roman" w:cs="Times New Roman"/>
                      <w:sz w:val="18"/>
                      <w:szCs w:val="18"/>
                    </w:rPr>
                  </w:pPr>
                  <w:r w:rsidRPr="00892E78">
                    <w:rPr>
                      <w:rFonts w:ascii="Times New Roman" w:hAnsi="Times New Roman" w:cs="Times New Roman"/>
                      <w:sz w:val="18"/>
                      <w:szCs w:val="18"/>
                    </w:rPr>
                    <w:t>Для колективних побутових споживачів, які проживають в житлових будинках (у тому числі в житлових будинках готельного типу, квартирах), обладнаних в установленому порядку електроопалювальними установками:</w:t>
                  </w:r>
                </w:p>
                <w:p w14:paraId="0EA3B476" w14:textId="77777777" w:rsidR="00892E78" w:rsidRPr="00892E78" w:rsidRDefault="00892E78" w:rsidP="00892E78">
                  <w:pPr>
                    <w:pStyle w:val="a3"/>
                    <w:rPr>
                      <w:rFonts w:ascii="Times New Roman" w:hAnsi="Times New Roman" w:cs="Times New Roman"/>
                      <w:sz w:val="18"/>
                      <w:szCs w:val="18"/>
                    </w:rPr>
                  </w:pPr>
                  <w:r w:rsidRPr="00892E78">
                    <w:rPr>
                      <w:rFonts w:ascii="Times New Roman" w:hAnsi="Times New Roman" w:cs="Times New Roman"/>
                      <w:sz w:val="18"/>
                      <w:szCs w:val="18"/>
                    </w:rPr>
                    <w:t xml:space="preserve"> у період з 1 жовтня по </w:t>
                  </w:r>
                </w:p>
                <w:p w14:paraId="394ECC0A" w14:textId="77777777" w:rsidR="00892E78" w:rsidRPr="00892E78" w:rsidRDefault="00892E78" w:rsidP="00892E78">
                  <w:pPr>
                    <w:pStyle w:val="a3"/>
                    <w:rPr>
                      <w:rFonts w:ascii="Times New Roman" w:hAnsi="Times New Roman" w:cs="Times New Roman"/>
                      <w:sz w:val="18"/>
                      <w:szCs w:val="18"/>
                    </w:rPr>
                  </w:pPr>
                  <w:r w:rsidRPr="00892E78">
                    <w:rPr>
                      <w:rFonts w:ascii="Times New Roman" w:hAnsi="Times New Roman" w:cs="Times New Roman"/>
                      <w:sz w:val="18"/>
                      <w:szCs w:val="18"/>
                    </w:rPr>
                    <w:lastRenderedPageBreak/>
                    <w:t>30 квітня (включно):</w:t>
                  </w:r>
                </w:p>
                <w:p w14:paraId="1EF665D0" w14:textId="77777777" w:rsidR="00892E78" w:rsidRPr="00892E78" w:rsidRDefault="00892E78" w:rsidP="00892E78">
                  <w:pPr>
                    <w:pStyle w:val="a3"/>
                    <w:rPr>
                      <w:rFonts w:ascii="Times New Roman" w:hAnsi="Times New Roman" w:cs="Times New Roman"/>
                      <w:sz w:val="18"/>
                      <w:szCs w:val="18"/>
                    </w:rPr>
                  </w:pPr>
                </w:p>
                <w:p w14:paraId="6DACAFA8" w14:textId="77777777" w:rsidR="00892E78" w:rsidRPr="00892E78" w:rsidRDefault="00892E78" w:rsidP="00892E78">
                  <w:pPr>
                    <w:pStyle w:val="a3"/>
                    <w:rPr>
                      <w:rFonts w:ascii="Times New Roman" w:hAnsi="Times New Roman" w:cs="Times New Roman"/>
                      <w:sz w:val="18"/>
                      <w:szCs w:val="18"/>
                    </w:rPr>
                  </w:pPr>
                  <w:r w:rsidRPr="00892E78">
                    <w:rPr>
                      <w:rFonts w:ascii="Times New Roman" w:hAnsi="Times New Roman" w:cs="Times New Roman"/>
                      <w:sz w:val="18"/>
                      <w:szCs w:val="18"/>
                    </w:rPr>
                    <w:t xml:space="preserve">- до 2000 кВт∙год спожитої </w:t>
                  </w:r>
                </w:p>
                <w:p w14:paraId="14DBAABB" w14:textId="77777777" w:rsidR="00892E78" w:rsidRPr="00892E78" w:rsidRDefault="00892E78" w:rsidP="00892E78">
                  <w:pPr>
                    <w:pStyle w:val="a3"/>
                    <w:rPr>
                      <w:rFonts w:ascii="Times New Roman" w:hAnsi="Times New Roman" w:cs="Times New Roman"/>
                      <w:sz w:val="18"/>
                      <w:szCs w:val="18"/>
                    </w:rPr>
                  </w:pPr>
                  <w:r w:rsidRPr="00892E78">
                    <w:rPr>
                      <w:rFonts w:ascii="Times New Roman" w:hAnsi="Times New Roman" w:cs="Times New Roman"/>
                      <w:sz w:val="18"/>
                      <w:szCs w:val="18"/>
                    </w:rPr>
                    <w:t xml:space="preserve">електричної енергії на </w:t>
                  </w:r>
                </w:p>
                <w:p w14:paraId="4A319496" w14:textId="77777777" w:rsidR="00892E78" w:rsidRPr="00892E78" w:rsidRDefault="00892E78" w:rsidP="00892E78">
                  <w:pPr>
                    <w:pStyle w:val="a3"/>
                    <w:rPr>
                      <w:rFonts w:ascii="Times New Roman" w:hAnsi="Times New Roman" w:cs="Times New Roman"/>
                      <w:sz w:val="18"/>
                      <w:szCs w:val="18"/>
                    </w:rPr>
                  </w:pPr>
                  <w:r w:rsidRPr="00892E78">
                    <w:rPr>
                      <w:rFonts w:ascii="Times New Roman" w:hAnsi="Times New Roman" w:cs="Times New Roman"/>
                      <w:sz w:val="18"/>
                      <w:szCs w:val="18"/>
                    </w:rPr>
                    <w:t xml:space="preserve">місяць (включно, за весь </w:t>
                  </w:r>
                </w:p>
                <w:p w14:paraId="6B1E115C" w14:textId="77777777" w:rsidR="00892E78" w:rsidRPr="00892E78" w:rsidRDefault="00892E78" w:rsidP="00892E78">
                  <w:pPr>
                    <w:pStyle w:val="a3"/>
                    <w:rPr>
                      <w:rFonts w:ascii="Times New Roman" w:hAnsi="Times New Roman" w:cs="Times New Roman"/>
                      <w:sz w:val="18"/>
                      <w:szCs w:val="18"/>
                    </w:rPr>
                  </w:pPr>
                  <w:r w:rsidRPr="00892E78">
                    <w:rPr>
                      <w:rFonts w:ascii="Times New Roman" w:hAnsi="Times New Roman" w:cs="Times New Roman"/>
                      <w:sz w:val="18"/>
                      <w:szCs w:val="18"/>
                    </w:rPr>
                    <w:t>обсяг споживання);</w:t>
                  </w:r>
                </w:p>
                <w:p w14:paraId="7B8CF293" w14:textId="77777777" w:rsidR="00892E78" w:rsidRPr="00892E78" w:rsidRDefault="00892E78" w:rsidP="00892E78">
                  <w:pPr>
                    <w:pStyle w:val="a3"/>
                    <w:rPr>
                      <w:rFonts w:ascii="Times New Roman" w:hAnsi="Times New Roman" w:cs="Times New Roman"/>
                      <w:sz w:val="18"/>
                      <w:szCs w:val="18"/>
                    </w:rPr>
                  </w:pPr>
                </w:p>
                <w:p w14:paraId="6942F0DA" w14:textId="77777777" w:rsidR="00892E78" w:rsidRPr="00892E78" w:rsidRDefault="00892E78" w:rsidP="00892E78">
                  <w:pPr>
                    <w:pStyle w:val="a3"/>
                    <w:rPr>
                      <w:rFonts w:ascii="Times New Roman" w:hAnsi="Times New Roman" w:cs="Times New Roman"/>
                      <w:sz w:val="18"/>
                      <w:szCs w:val="18"/>
                    </w:rPr>
                  </w:pPr>
                  <w:r w:rsidRPr="00892E78">
                    <w:rPr>
                      <w:rFonts w:ascii="Times New Roman" w:hAnsi="Times New Roman" w:cs="Times New Roman"/>
                      <w:sz w:val="18"/>
                      <w:szCs w:val="18"/>
                    </w:rPr>
                    <w:t xml:space="preserve">- понад 2000 кВт∙год </w:t>
                  </w:r>
                </w:p>
                <w:p w14:paraId="481EDA59" w14:textId="77777777" w:rsidR="00892E78" w:rsidRPr="00892E78" w:rsidRDefault="00892E78" w:rsidP="00892E78">
                  <w:pPr>
                    <w:pStyle w:val="a3"/>
                    <w:rPr>
                      <w:rFonts w:ascii="Times New Roman" w:hAnsi="Times New Roman" w:cs="Times New Roman"/>
                      <w:sz w:val="18"/>
                      <w:szCs w:val="18"/>
                    </w:rPr>
                  </w:pPr>
                  <w:r w:rsidRPr="00892E78">
                    <w:rPr>
                      <w:rFonts w:ascii="Times New Roman" w:hAnsi="Times New Roman" w:cs="Times New Roman"/>
                      <w:sz w:val="18"/>
                      <w:szCs w:val="18"/>
                    </w:rPr>
                    <w:t xml:space="preserve">спожитої електричної </w:t>
                  </w:r>
                </w:p>
                <w:p w14:paraId="08ADF64B" w14:textId="62AB6B89" w:rsidR="00892E78" w:rsidRPr="00892E78" w:rsidRDefault="00892E78" w:rsidP="00892E78">
                  <w:pPr>
                    <w:pStyle w:val="a3"/>
                    <w:rPr>
                      <w:sz w:val="18"/>
                      <w:szCs w:val="18"/>
                    </w:rPr>
                  </w:pPr>
                  <w:r w:rsidRPr="00892E78">
                    <w:rPr>
                      <w:rFonts w:ascii="Times New Roman" w:hAnsi="Times New Roman" w:cs="Times New Roman"/>
                      <w:sz w:val="18"/>
                      <w:szCs w:val="18"/>
                    </w:rPr>
                    <w:t>енергії на місяць (за весь обсяг споживання)</w:t>
                  </w:r>
                </w:p>
              </w:tc>
              <w:tc>
                <w:tcPr>
                  <w:tcW w:w="1424" w:type="dxa"/>
                  <w:tcBorders>
                    <w:top w:val="single" w:sz="4" w:space="0" w:color="auto"/>
                    <w:left w:val="single" w:sz="4" w:space="0" w:color="auto"/>
                    <w:bottom w:val="single" w:sz="4" w:space="0" w:color="auto"/>
                    <w:right w:val="single" w:sz="4" w:space="0" w:color="auto"/>
                  </w:tcBorders>
                  <w:vAlign w:val="center"/>
                </w:tcPr>
                <w:p w14:paraId="14CE535F" w14:textId="77777777" w:rsidR="00892E78" w:rsidRPr="00892E78" w:rsidRDefault="00892E78" w:rsidP="00892E78">
                  <w:pPr>
                    <w:pStyle w:val="a3"/>
                    <w:jc w:val="center"/>
                    <w:rPr>
                      <w:sz w:val="18"/>
                      <w:szCs w:val="18"/>
                    </w:rPr>
                  </w:pPr>
                </w:p>
                <w:p w14:paraId="4A6118DC" w14:textId="77777777" w:rsidR="00892E78" w:rsidRPr="00892E78" w:rsidRDefault="00892E78" w:rsidP="00892E78">
                  <w:pPr>
                    <w:pStyle w:val="a3"/>
                    <w:jc w:val="center"/>
                    <w:rPr>
                      <w:sz w:val="18"/>
                      <w:szCs w:val="18"/>
                    </w:rPr>
                  </w:pPr>
                </w:p>
                <w:p w14:paraId="0A03965A" w14:textId="77777777" w:rsidR="00892E78" w:rsidRPr="00892E78" w:rsidRDefault="00892E78" w:rsidP="00892E78">
                  <w:pPr>
                    <w:pStyle w:val="a3"/>
                    <w:jc w:val="center"/>
                    <w:rPr>
                      <w:sz w:val="18"/>
                      <w:szCs w:val="18"/>
                    </w:rPr>
                  </w:pPr>
                </w:p>
                <w:p w14:paraId="46ABB9C9" w14:textId="77777777" w:rsidR="00892E78" w:rsidRPr="00892E78" w:rsidRDefault="00892E78" w:rsidP="00892E78">
                  <w:pPr>
                    <w:pStyle w:val="a3"/>
                    <w:jc w:val="center"/>
                    <w:rPr>
                      <w:sz w:val="18"/>
                      <w:szCs w:val="18"/>
                    </w:rPr>
                  </w:pPr>
                </w:p>
                <w:p w14:paraId="45032B9C" w14:textId="77777777" w:rsidR="00892E78" w:rsidRPr="00892E78" w:rsidRDefault="00892E78" w:rsidP="00892E78">
                  <w:pPr>
                    <w:pStyle w:val="a3"/>
                    <w:jc w:val="center"/>
                    <w:rPr>
                      <w:sz w:val="18"/>
                      <w:szCs w:val="18"/>
                    </w:rPr>
                  </w:pPr>
                </w:p>
                <w:p w14:paraId="11CF91E1" w14:textId="77777777" w:rsidR="00892E78" w:rsidRDefault="00892E78" w:rsidP="00892E78">
                  <w:pPr>
                    <w:pStyle w:val="a3"/>
                    <w:rPr>
                      <w:sz w:val="18"/>
                      <w:szCs w:val="18"/>
                    </w:rPr>
                  </w:pPr>
                </w:p>
                <w:p w14:paraId="377C4E1B" w14:textId="77777777" w:rsidR="00892E78" w:rsidRPr="00892E78" w:rsidRDefault="00892E78" w:rsidP="00892E78">
                  <w:pPr>
                    <w:pStyle w:val="a3"/>
                    <w:rPr>
                      <w:sz w:val="18"/>
                      <w:szCs w:val="18"/>
                    </w:rPr>
                  </w:pPr>
                </w:p>
                <w:p w14:paraId="6B6C0BB5" w14:textId="77777777" w:rsidR="00892E78" w:rsidRDefault="00892E78" w:rsidP="00892E78">
                  <w:pPr>
                    <w:pStyle w:val="a3"/>
                    <w:rPr>
                      <w:sz w:val="18"/>
                      <w:szCs w:val="18"/>
                    </w:rPr>
                  </w:pPr>
                </w:p>
                <w:p w14:paraId="35C7C558" w14:textId="77777777" w:rsidR="00892E78" w:rsidRDefault="00892E78" w:rsidP="00892E78">
                  <w:pPr>
                    <w:pStyle w:val="a3"/>
                    <w:rPr>
                      <w:sz w:val="18"/>
                      <w:szCs w:val="18"/>
                    </w:rPr>
                  </w:pPr>
                </w:p>
                <w:p w14:paraId="7F3C8BA8" w14:textId="77777777" w:rsidR="00892E78" w:rsidRPr="00892E78" w:rsidRDefault="00892E78" w:rsidP="00892E78">
                  <w:pPr>
                    <w:pStyle w:val="a3"/>
                    <w:rPr>
                      <w:sz w:val="18"/>
                      <w:szCs w:val="18"/>
                    </w:rPr>
                  </w:pPr>
                </w:p>
                <w:p w14:paraId="631C312A" w14:textId="77777777" w:rsidR="00892E78" w:rsidRPr="00892E78" w:rsidRDefault="00892E78" w:rsidP="00892E78">
                  <w:pPr>
                    <w:pStyle w:val="a3"/>
                    <w:jc w:val="center"/>
                    <w:rPr>
                      <w:sz w:val="18"/>
                      <w:szCs w:val="18"/>
                    </w:rPr>
                  </w:pPr>
                </w:p>
                <w:p w14:paraId="4B96FC96" w14:textId="77777777" w:rsidR="00892E78" w:rsidRPr="00892E78" w:rsidRDefault="00892E78" w:rsidP="00892E78">
                  <w:pPr>
                    <w:pStyle w:val="a3"/>
                    <w:jc w:val="center"/>
                    <w:rPr>
                      <w:sz w:val="18"/>
                      <w:szCs w:val="18"/>
                    </w:rPr>
                  </w:pPr>
                  <w:r w:rsidRPr="00892E78">
                    <w:rPr>
                      <w:sz w:val="18"/>
                      <w:szCs w:val="18"/>
                    </w:rPr>
                    <w:t>2,2</w:t>
                  </w:r>
                </w:p>
                <w:p w14:paraId="7A64E8A5" w14:textId="77777777" w:rsidR="00892E78" w:rsidRPr="00892E78" w:rsidRDefault="00892E78" w:rsidP="00892E78">
                  <w:pPr>
                    <w:pStyle w:val="a3"/>
                    <w:jc w:val="center"/>
                    <w:rPr>
                      <w:sz w:val="18"/>
                      <w:szCs w:val="18"/>
                    </w:rPr>
                  </w:pPr>
                </w:p>
                <w:p w14:paraId="0C3E0033" w14:textId="77777777" w:rsidR="00892E78" w:rsidRPr="00892E78" w:rsidRDefault="00892E78" w:rsidP="00892E78">
                  <w:pPr>
                    <w:pStyle w:val="a3"/>
                    <w:jc w:val="center"/>
                    <w:rPr>
                      <w:sz w:val="18"/>
                      <w:szCs w:val="18"/>
                    </w:rPr>
                  </w:pPr>
                </w:p>
                <w:p w14:paraId="419A5A8D" w14:textId="77777777" w:rsidR="00892E78" w:rsidRPr="00892E78" w:rsidRDefault="00892E78" w:rsidP="00892E78">
                  <w:pPr>
                    <w:pStyle w:val="a3"/>
                    <w:rPr>
                      <w:sz w:val="18"/>
                      <w:szCs w:val="18"/>
                    </w:rPr>
                  </w:pPr>
                </w:p>
                <w:p w14:paraId="5990ABA3" w14:textId="77777777" w:rsidR="00892E78" w:rsidRPr="00892E78" w:rsidRDefault="00892E78" w:rsidP="00892E78">
                  <w:pPr>
                    <w:pStyle w:val="a3"/>
                    <w:jc w:val="center"/>
                    <w:rPr>
                      <w:sz w:val="18"/>
                      <w:szCs w:val="18"/>
                    </w:rPr>
                  </w:pPr>
                </w:p>
                <w:p w14:paraId="1E1572F2" w14:textId="77777777" w:rsidR="00892E78" w:rsidRPr="00892E78" w:rsidRDefault="00892E78" w:rsidP="00892E78">
                  <w:pPr>
                    <w:pStyle w:val="a3"/>
                    <w:jc w:val="center"/>
                    <w:rPr>
                      <w:sz w:val="18"/>
                      <w:szCs w:val="18"/>
                    </w:rPr>
                  </w:pPr>
                  <w:r w:rsidRPr="00892E78">
                    <w:rPr>
                      <w:sz w:val="18"/>
                      <w:szCs w:val="18"/>
                    </w:rPr>
                    <w:t>3,6</w:t>
                  </w:r>
                </w:p>
                <w:p w14:paraId="37E76284" w14:textId="77777777" w:rsidR="00892E78" w:rsidRPr="00892E78" w:rsidRDefault="00892E78" w:rsidP="00892E78">
                  <w:pPr>
                    <w:pStyle w:val="a3"/>
                    <w:jc w:val="center"/>
                    <w:rPr>
                      <w:sz w:val="18"/>
                      <w:szCs w:val="18"/>
                    </w:rPr>
                  </w:pPr>
                </w:p>
              </w:tc>
              <w:tc>
                <w:tcPr>
                  <w:tcW w:w="2415" w:type="dxa"/>
                  <w:tcBorders>
                    <w:top w:val="single" w:sz="4" w:space="0" w:color="auto"/>
                    <w:left w:val="single" w:sz="4" w:space="0" w:color="auto"/>
                    <w:bottom w:val="single" w:sz="4" w:space="0" w:color="auto"/>
                    <w:right w:val="single" w:sz="4" w:space="0" w:color="auto"/>
                  </w:tcBorders>
                  <w:vAlign w:val="center"/>
                </w:tcPr>
                <w:p w14:paraId="5E0C7A2E" w14:textId="77777777" w:rsidR="00892E78" w:rsidRPr="00892E78" w:rsidRDefault="00892E78" w:rsidP="00892E78">
                  <w:pPr>
                    <w:pStyle w:val="a3"/>
                    <w:rPr>
                      <w:sz w:val="18"/>
                      <w:szCs w:val="18"/>
                    </w:rPr>
                  </w:pPr>
                </w:p>
                <w:p w14:paraId="1FB80D68" w14:textId="77777777" w:rsidR="00892E78" w:rsidRPr="00892E78" w:rsidRDefault="00892E78" w:rsidP="00892E78">
                  <w:pPr>
                    <w:pStyle w:val="a3"/>
                    <w:rPr>
                      <w:sz w:val="18"/>
                      <w:szCs w:val="18"/>
                    </w:rPr>
                  </w:pPr>
                </w:p>
                <w:p w14:paraId="72E70853" w14:textId="77777777" w:rsidR="00892E78" w:rsidRPr="00892E78" w:rsidRDefault="00892E78" w:rsidP="00892E78">
                  <w:pPr>
                    <w:pStyle w:val="a3"/>
                    <w:rPr>
                      <w:sz w:val="18"/>
                      <w:szCs w:val="18"/>
                    </w:rPr>
                  </w:pPr>
                </w:p>
                <w:p w14:paraId="2437452D" w14:textId="77777777" w:rsidR="00892E78" w:rsidRPr="00892E78" w:rsidRDefault="00892E78" w:rsidP="00892E78">
                  <w:pPr>
                    <w:pStyle w:val="a3"/>
                    <w:rPr>
                      <w:sz w:val="18"/>
                      <w:szCs w:val="18"/>
                    </w:rPr>
                  </w:pPr>
                </w:p>
                <w:p w14:paraId="77658DE9" w14:textId="77777777" w:rsidR="00892E78" w:rsidRDefault="00892E78" w:rsidP="00892E78">
                  <w:pPr>
                    <w:pStyle w:val="a3"/>
                    <w:rPr>
                      <w:sz w:val="18"/>
                      <w:szCs w:val="18"/>
                    </w:rPr>
                  </w:pPr>
                </w:p>
                <w:p w14:paraId="7020B319" w14:textId="77777777" w:rsidR="00892E78" w:rsidRDefault="00892E78" w:rsidP="00892E78">
                  <w:pPr>
                    <w:pStyle w:val="a3"/>
                    <w:rPr>
                      <w:sz w:val="18"/>
                      <w:szCs w:val="18"/>
                    </w:rPr>
                  </w:pPr>
                </w:p>
                <w:p w14:paraId="237AFCF6" w14:textId="77777777" w:rsidR="00892E78" w:rsidRDefault="00892E78" w:rsidP="00892E78">
                  <w:pPr>
                    <w:pStyle w:val="a3"/>
                    <w:rPr>
                      <w:sz w:val="18"/>
                      <w:szCs w:val="18"/>
                    </w:rPr>
                  </w:pPr>
                </w:p>
                <w:p w14:paraId="0588E0DB" w14:textId="77777777" w:rsidR="00892E78" w:rsidRPr="00892E78" w:rsidRDefault="00892E78" w:rsidP="00892E78">
                  <w:pPr>
                    <w:pStyle w:val="a3"/>
                    <w:rPr>
                      <w:sz w:val="18"/>
                      <w:szCs w:val="18"/>
                    </w:rPr>
                  </w:pPr>
                </w:p>
                <w:p w14:paraId="0E021730" w14:textId="77777777" w:rsidR="00892E78" w:rsidRPr="00892E78" w:rsidRDefault="00892E78" w:rsidP="00892E78">
                  <w:pPr>
                    <w:pStyle w:val="a3"/>
                    <w:jc w:val="center"/>
                    <w:rPr>
                      <w:sz w:val="18"/>
                      <w:szCs w:val="18"/>
                    </w:rPr>
                  </w:pPr>
                </w:p>
                <w:p w14:paraId="01404384" w14:textId="77777777" w:rsidR="00892E78" w:rsidRPr="00892E78" w:rsidRDefault="00892E78" w:rsidP="00892E78">
                  <w:pPr>
                    <w:pStyle w:val="a3"/>
                    <w:jc w:val="center"/>
                    <w:rPr>
                      <w:sz w:val="18"/>
                      <w:szCs w:val="18"/>
                    </w:rPr>
                  </w:pPr>
                </w:p>
                <w:p w14:paraId="196ABF7A" w14:textId="77777777" w:rsidR="00892E78" w:rsidRPr="00892E78" w:rsidRDefault="00892E78" w:rsidP="00892E78">
                  <w:pPr>
                    <w:pStyle w:val="a3"/>
                    <w:jc w:val="center"/>
                    <w:rPr>
                      <w:sz w:val="18"/>
                      <w:szCs w:val="18"/>
                    </w:rPr>
                  </w:pPr>
                </w:p>
                <w:p w14:paraId="2F40585B" w14:textId="77777777" w:rsidR="00892E78" w:rsidRPr="00892E78" w:rsidRDefault="00892E78" w:rsidP="00892E78">
                  <w:pPr>
                    <w:pStyle w:val="a3"/>
                    <w:jc w:val="center"/>
                    <w:rPr>
                      <w:sz w:val="18"/>
                      <w:szCs w:val="18"/>
                    </w:rPr>
                  </w:pPr>
                  <w:r w:rsidRPr="00892E78">
                    <w:rPr>
                      <w:sz w:val="18"/>
                      <w:szCs w:val="18"/>
                    </w:rPr>
                    <w:t>2,64</w:t>
                  </w:r>
                </w:p>
                <w:p w14:paraId="528A6067" w14:textId="77777777" w:rsidR="00892E78" w:rsidRPr="00892E78" w:rsidRDefault="00892E78" w:rsidP="00892E78">
                  <w:pPr>
                    <w:pStyle w:val="a3"/>
                    <w:jc w:val="center"/>
                    <w:rPr>
                      <w:sz w:val="18"/>
                      <w:szCs w:val="18"/>
                    </w:rPr>
                  </w:pPr>
                </w:p>
                <w:p w14:paraId="21A14099" w14:textId="77777777" w:rsidR="00892E78" w:rsidRPr="00892E78" w:rsidRDefault="00892E78" w:rsidP="00892E78">
                  <w:pPr>
                    <w:pStyle w:val="a3"/>
                    <w:jc w:val="center"/>
                    <w:rPr>
                      <w:sz w:val="18"/>
                      <w:szCs w:val="18"/>
                    </w:rPr>
                  </w:pPr>
                </w:p>
                <w:p w14:paraId="42380267" w14:textId="77777777" w:rsidR="00892E78" w:rsidRPr="00892E78" w:rsidRDefault="00892E78" w:rsidP="00892E78">
                  <w:pPr>
                    <w:pStyle w:val="a3"/>
                    <w:jc w:val="center"/>
                    <w:rPr>
                      <w:sz w:val="18"/>
                      <w:szCs w:val="18"/>
                    </w:rPr>
                  </w:pPr>
                </w:p>
                <w:p w14:paraId="79C0F491" w14:textId="77777777" w:rsidR="00892E78" w:rsidRPr="00892E78" w:rsidRDefault="00892E78" w:rsidP="00892E78">
                  <w:pPr>
                    <w:pStyle w:val="a3"/>
                    <w:jc w:val="center"/>
                    <w:rPr>
                      <w:sz w:val="18"/>
                      <w:szCs w:val="18"/>
                    </w:rPr>
                  </w:pPr>
                </w:p>
                <w:p w14:paraId="7A7365FE" w14:textId="77777777" w:rsidR="00892E78" w:rsidRPr="00892E78" w:rsidRDefault="00892E78" w:rsidP="00892E78">
                  <w:pPr>
                    <w:pStyle w:val="a3"/>
                    <w:jc w:val="center"/>
                    <w:rPr>
                      <w:sz w:val="18"/>
                      <w:szCs w:val="18"/>
                    </w:rPr>
                  </w:pPr>
                  <w:r w:rsidRPr="00892E78">
                    <w:rPr>
                      <w:sz w:val="18"/>
                      <w:szCs w:val="18"/>
                    </w:rPr>
                    <w:t>4,32</w:t>
                  </w:r>
                </w:p>
                <w:p w14:paraId="381CC346" w14:textId="77777777" w:rsidR="00892E78" w:rsidRPr="00892E78" w:rsidRDefault="00892E78" w:rsidP="00892E78">
                  <w:pPr>
                    <w:pStyle w:val="a3"/>
                    <w:jc w:val="center"/>
                    <w:rPr>
                      <w:sz w:val="18"/>
                      <w:szCs w:val="18"/>
                    </w:rPr>
                  </w:pPr>
                </w:p>
              </w:tc>
            </w:tr>
          </w:tbl>
          <w:p w14:paraId="618795C3" w14:textId="77777777" w:rsidR="006676F9" w:rsidRPr="00D5475F" w:rsidRDefault="006676F9" w:rsidP="00E44DFB">
            <w:pPr>
              <w:pStyle w:val="a3"/>
              <w:rPr>
                <w:rFonts w:ascii="Times New Roman" w:hAnsi="Times New Roman" w:cs="Times New Roman"/>
                <w:lang w:eastAsia="uk-UA"/>
              </w:rPr>
            </w:pPr>
          </w:p>
        </w:tc>
      </w:tr>
      <w:tr w:rsidR="004A6EDA" w:rsidRPr="00D5475F" w14:paraId="4FF6F143" w14:textId="77777777" w:rsidTr="00901A27">
        <w:tc>
          <w:tcPr>
            <w:tcW w:w="3195"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10A17F9A" w14:textId="77777777" w:rsidR="00A217E2" w:rsidRPr="00D5475F" w:rsidRDefault="00225A94" w:rsidP="00E44DFB">
            <w:pPr>
              <w:pStyle w:val="a3"/>
              <w:rPr>
                <w:rFonts w:ascii="Times New Roman" w:hAnsi="Times New Roman" w:cs="Times New Roman"/>
                <w:lang w:eastAsia="uk-UA"/>
              </w:rPr>
            </w:pPr>
            <w:r w:rsidRPr="00D5475F">
              <w:rPr>
                <w:rFonts w:ascii="Times New Roman" w:hAnsi="Times New Roman" w:cs="Times New Roman"/>
                <w:lang w:val="en-US" w:eastAsia="uk-UA"/>
              </w:rPr>
              <w:lastRenderedPageBreak/>
              <w:t>3.</w:t>
            </w:r>
            <w:r w:rsidR="00A217E2" w:rsidRPr="00D5475F">
              <w:rPr>
                <w:rFonts w:ascii="Times New Roman" w:hAnsi="Times New Roman" w:cs="Times New Roman"/>
                <w:lang w:eastAsia="uk-UA"/>
              </w:rPr>
              <w:t>Розрахунковий період</w:t>
            </w:r>
          </w:p>
        </w:tc>
        <w:tc>
          <w:tcPr>
            <w:tcW w:w="7029"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1EA8E21B" w14:textId="77777777" w:rsidR="00A217E2" w:rsidRPr="00D5475F" w:rsidRDefault="00C9390C" w:rsidP="00C9390C">
            <w:pPr>
              <w:pStyle w:val="a3"/>
              <w:jc w:val="both"/>
              <w:rPr>
                <w:rFonts w:ascii="Times New Roman" w:hAnsi="Times New Roman" w:cs="Times New Roman"/>
                <w:lang w:eastAsia="uk-UA"/>
              </w:rPr>
            </w:pPr>
            <w:r w:rsidRPr="00D5475F">
              <w:rPr>
                <w:rFonts w:ascii="Times New Roman" w:hAnsi="Times New Roman" w:cs="Times New Roman"/>
                <w:lang w:eastAsia="uk-UA"/>
              </w:rPr>
              <w:t xml:space="preserve">3.1  </w:t>
            </w:r>
            <w:r w:rsidRPr="00D5475F">
              <w:rPr>
                <w:rFonts w:ascii="Times New Roman" w:eastAsia="Times New Roman" w:hAnsi="Times New Roman" w:cs="Times New Roman"/>
                <w:lang w:eastAsia="uk-UA"/>
              </w:rPr>
              <w:t xml:space="preserve">Календарний місяць (розрахунковим періодом вважається період, який починається з 1 числа поточного місяця та </w:t>
            </w:r>
            <w:r w:rsidRPr="00D5475F">
              <w:rPr>
                <w:rFonts w:ascii="Times New Roman" w:hAnsi="Times New Roman" w:cs="Times New Roman"/>
              </w:rPr>
              <w:t>закінчується в останній календарний день місяця).</w:t>
            </w:r>
          </w:p>
        </w:tc>
      </w:tr>
      <w:tr w:rsidR="004A6EDA" w:rsidRPr="00D5475F" w14:paraId="7456C1CC" w14:textId="77777777" w:rsidTr="00901A27">
        <w:tc>
          <w:tcPr>
            <w:tcW w:w="3195"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4F926DCE" w14:textId="77777777" w:rsidR="00A217E2" w:rsidRPr="00D5475F" w:rsidRDefault="00225A94" w:rsidP="00E44DFB">
            <w:pPr>
              <w:pStyle w:val="a3"/>
              <w:rPr>
                <w:rFonts w:ascii="Times New Roman" w:hAnsi="Times New Roman" w:cs="Times New Roman"/>
                <w:lang w:eastAsia="uk-UA"/>
              </w:rPr>
            </w:pPr>
            <w:r w:rsidRPr="00D5475F">
              <w:rPr>
                <w:rFonts w:ascii="Times New Roman" w:hAnsi="Times New Roman" w:cs="Times New Roman"/>
                <w:lang w:val="en-US" w:eastAsia="uk-UA"/>
              </w:rPr>
              <w:t>4.</w:t>
            </w:r>
            <w:r w:rsidR="00A217E2" w:rsidRPr="00D5475F">
              <w:rPr>
                <w:rFonts w:ascii="Times New Roman" w:hAnsi="Times New Roman" w:cs="Times New Roman"/>
                <w:lang w:eastAsia="uk-UA"/>
              </w:rPr>
              <w:t>Спосіб оплати за послугу розподілу (передачі) електричної енергії</w:t>
            </w:r>
          </w:p>
        </w:tc>
        <w:tc>
          <w:tcPr>
            <w:tcW w:w="7029"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3F8B6934" w14:textId="77777777" w:rsidR="00A217E2" w:rsidRPr="00D5475F" w:rsidRDefault="00A217E2" w:rsidP="00E44DFB">
            <w:pPr>
              <w:pStyle w:val="a3"/>
              <w:rPr>
                <w:rFonts w:ascii="Times New Roman" w:hAnsi="Times New Roman" w:cs="Times New Roman"/>
                <w:lang w:eastAsia="uk-UA"/>
              </w:rPr>
            </w:pPr>
            <w:r w:rsidRPr="00D5475F">
              <w:rPr>
                <w:rFonts w:ascii="Times New Roman" w:hAnsi="Times New Roman" w:cs="Times New Roman"/>
                <w:lang w:eastAsia="uk-UA"/>
              </w:rPr>
              <w:t>4.1. Через Постачальника з наступним переведенням цієї оплати оператору системи.</w:t>
            </w:r>
          </w:p>
          <w:p w14:paraId="624FC2E9" w14:textId="77777777" w:rsidR="00A217E2" w:rsidRPr="00D5475F" w:rsidRDefault="00A217E2" w:rsidP="00E44DFB">
            <w:pPr>
              <w:pStyle w:val="a3"/>
              <w:rPr>
                <w:rFonts w:ascii="Times New Roman" w:hAnsi="Times New Roman" w:cs="Times New Roman"/>
                <w:lang w:eastAsia="uk-UA"/>
              </w:rPr>
            </w:pPr>
            <w:r w:rsidRPr="00D5475F">
              <w:rPr>
                <w:rFonts w:ascii="Times New Roman" w:hAnsi="Times New Roman" w:cs="Times New Roman"/>
                <w:lang w:eastAsia="uk-UA"/>
              </w:rPr>
              <w:t>4.2. Оплата послуги з розподілу (передачі) електричної енергії здійснюється Споживачем на підставі виставленого Постачальником окремого рахунку з розподілу (передачі) електричної енергії або на підставі рахунку за спожиту електричну енергію, в якому Постачальником окремим рядком зазначаються дані про вартість послуги з розподілу (передачі) електричної енергії.</w:t>
            </w:r>
          </w:p>
          <w:p w14:paraId="28F54860" w14:textId="77777777" w:rsidR="00A217E2" w:rsidRPr="00D5475F" w:rsidRDefault="00A217E2" w:rsidP="00E44DFB">
            <w:pPr>
              <w:pStyle w:val="a3"/>
              <w:rPr>
                <w:rFonts w:ascii="Times New Roman" w:hAnsi="Times New Roman" w:cs="Times New Roman"/>
                <w:lang w:eastAsia="uk-UA"/>
              </w:rPr>
            </w:pPr>
            <w:r w:rsidRPr="00D5475F">
              <w:rPr>
                <w:rFonts w:ascii="Times New Roman" w:hAnsi="Times New Roman" w:cs="Times New Roman"/>
                <w:lang w:eastAsia="uk-UA"/>
              </w:rPr>
              <w:t> Розрахунок вартості послуг з розподілу (передачі) електричної енергії здійснюється на підставі регульованих тарифів на послугу з розподілу (передачі) оператору систем розподілу (передачі)  та з врахуванням обсягів розподіленої (переданої) електричної енергії Споживачу відповідно до даних комерційного обліку.</w:t>
            </w:r>
          </w:p>
          <w:p w14:paraId="64E65BA5" w14:textId="77777777" w:rsidR="00A217E2" w:rsidRPr="00D5475F" w:rsidRDefault="00A217E2" w:rsidP="00E44DFB">
            <w:pPr>
              <w:pStyle w:val="a3"/>
              <w:rPr>
                <w:rFonts w:ascii="Times New Roman" w:hAnsi="Times New Roman" w:cs="Times New Roman"/>
                <w:lang w:eastAsia="uk-UA"/>
              </w:rPr>
            </w:pPr>
            <w:r w:rsidRPr="00D5475F">
              <w:rPr>
                <w:rFonts w:ascii="Times New Roman" w:hAnsi="Times New Roman" w:cs="Times New Roman"/>
                <w:lang w:eastAsia="uk-UA"/>
              </w:rPr>
              <w:t>4.3. Зміна регульованих тарифів на послугу з розподілу (передачі) оператору систем розподілу (передачі), у встановленому законодавством порядку, є підставою для зміни Постачальником ціни цього Договору в односторонньому порядку.</w:t>
            </w:r>
          </w:p>
        </w:tc>
      </w:tr>
      <w:tr w:rsidR="004A6EDA" w:rsidRPr="00D5475F" w14:paraId="326BBB6E" w14:textId="77777777" w:rsidTr="00901A27">
        <w:tc>
          <w:tcPr>
            <w:tcW w:w="3195"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3F55AECA" w14:textId="77777777" w:rsidR="00A217E2" w:rsidRPr="00D5475F" w:rsidRDefault="00225A94" w:rsidP="00E44DFB">
            <w:pPr>
              <w:pStyle w:val="a3"/>
              <w:rPr>
                <w:rFonts w:ascii="Times New Roman" w:hAnsi="Times New Roman" w:cs="Times New Roman"/>
                <w:lang w:eastAsia="uk-UA"/>
              </w:rPr>
            </w:pPr>
            <w:r w:rsidRPr="00D5475F">
              <w:rPr>
                <w:rFonts w:ascii="Times New Roman" w:hAnsi="Times New Roman" w:cs="Times New Roman"/>
                <w:lang w:val="en-US" w:eastAsia="uk-UA"/>
              </w:rPr>
              <w:t>5.</w:t>
            </w:r>
            <w:r w:rsidR="00A217E2" w:rsidRPr="00D5475F">
              <w:rPr>
                <w:rFonts w:ascii="Times New Roman" w:hAnsi="Times New Roman" w:cs="Times New Roman"/>
                <w:lang w:eastAsia="uk-UA"/>
              </w:rPr>
              <w:t>Спосіб та терміни оплати</w:t>
            </w:r>
          </w:p>
        </w:tc>
        <w:tc>
          <w:tcPr>
            <w:tcW w:w="7029"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551F42A3" w14:textId="77777777" w:rsidR="00A217E2" w:rsidRPr="00D5475F" w:rsidRDefault="00A217E2" w:rsidP="00E44DFB">
            <w:pPr>
              <w:pStyle w:val="a3"/>
              <w:rPr>
                <w:rFonts w:ascii="Times New Roman" w:hAnsi="Times New Roman" w:cs="Times New Roman"/>
                <w:lang w:eastAsia="uk-UA"/>
              </w:rPr>
            </w:pPr>
            <w:r w:rsidRPr="00D5475F">
              <w:rPr>
                <w:rFonts w:ascii="Times New Roman" w:hAnsi="Times New Roman" w:cs="Times New Roman"/>
                <w:lang w:eastAsia="uk-UA"/>
              </w:rPr>
              <w:t xml:space="preserve">5.1. Оплата за </w:t>
            </w:r>
            <w:r w:rsidR="00265334" w:rsidRPr="00D5475F">
              <w:rPr>
                <w:rFonts w:ascii="Times New Roman" w:hAnsi="Times New Roman" w:cs="Times New Roman"/>
                <w:lang w:eastAsia="uk-UA"/>
              </w:rPr>
              <w:t xml:space="preserve">фактично спожиту електроенергію визначається </w:t>
            </w:r>
            <w:r w:rsidRPr="00D5475F">
              <w:rPr>
                <w:rFonts w:ascii="Times New Roman" w:hAnsi="Times New Roman" w:cs="Times New Roman"/>
                <w:lang w:eastAsia="uk-UA"/>
              </w:rPr>
              <w:t>відповідно до даних комерційного обліку</w:t>
            </w:r>
          </w:p>
          <w:p w14:paraId="2B4C5D74" w14:textId="77777777" w:rsidR="00A217E2" w:rsidRPr="00D5475F" w:rsidRDefault="00A217E2" w:rsidP="00E44DFB">
            <w:pPr>
              <w:pStyle w:val="a3"/>
              <w:rPr>
                <w:rFonts w:ascii="Times New Roman" w:hAnsi="Times New Roman" w:cs="Times New Roman"/>
                <w:lang w:eastAsia="uk-UA"/>
              </w:rPr>
            </w:pPr>
            <w:r w:rsidRPr="00D5475F">
              <w:rPr>
                <w:rFonts w:ascii="Times New Roman" w:hAnsi="Times New Roman" w:cs="Times New Roman"/>
                <w:lang w:eastAsia="uk-UA"/>
              </w:rPr>
              <w:t>5.2. Термін надання остаточного рахунку за спожиту електроенергію електропостачальником – протягом 3 робочих днів з моменту отримання інформації про обсяги споживання, згідно з даними комерційного обліку</w:t>
            </w:r>
          </w:p>
          <w:p w14:paraId="2BA9F6BF" w14:textId="77777777" w:rsidR="00A217E2" w:rsidRPr="00D5475F" w:rsidRDefault="00A217E2" w:rsidP="00E44DFB">
            <w:pPr>
              <w:pStyle w:val="a3"/>
              <w:rPr>
                <w:rFonts w:ascii="Times New Roman" w:hAnsi="Times New Roman" w:cs="Times New Roman"/>
                <w:lang w:eastAsia="uk-UA"/>
              </w:rPr>
            </w:pPr>
            <w:r w:rsidRPr="00D5475F">
              <w:rPr>
                <w:rFonts w:ascii="Times New Roman" w:hAnsi="Times New Roman" w:cs="Times New Roman"/>
                <w:lang w:eastAsia="uk-UA"/>
              </w:rPr>
              <w:t>5.3. Термін оплати рахунків – 5 робочих днів від дати отримання рахунку.</w:t>
            </w:r>
          </w:p>
        </w:tc>
      </w:tr>
      <w:tr w:rsidR="004A6EDA" w:rsidRPr="00D5475F" w14:paraId="54456280" w14:textId="77777777" w:rsidTr="00901A27">
        <w:tc>
          <w:tcPr>
            <w:tcW w:w="3195"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6A022DB8" w14:textId="77777777" w:rsidR="00A217E2" w:rsidRPr="00D5475F" w:rsidRDefault="00225A94" w:rsidP="00E44DFB">
            <w:pPr>
              <w:pStyle w:val="a3"/>
              <w:rPr>
                <w:rFonts w:ascii="Times New Roman" w:hAnsi="Times New Roman" w:cs="Times New Roman"/>
                <w:lang w:eastAsia="uk-UA"/>
              </w:rPr>
            </w:pPr>
            <w:r w:rsidRPr="00D5475F">
              <w:rPr>
                <w:rFonts w:ascii="Times New Roman" w:hAnsi="Times New Roman" w:cs="Times New Roman"/>
                <w:lang w:val="en-US" w:eastAsia="uk-UA"/>
              </w:rPr>
              <w:t>6.</w:t>
            </w:r>
            <w:r w:rsidR="00A217E2" w:rsidRPr="00D5475F">
              <w:rPr>
                <w:rFonts w:ascii="Times New Roman" w:hAnsi="Times New Roman" w:cs="Times New Roman"/>
                <w:lang w:eastAsia="uk-UA"/>
              </w:rPr>
              <w:t>Термін виставлення рахунку за електричну енергію та терміни його оплати</w:t>
            </w:r>
          </w:p>
        </w:tc>
        <w:tc>
          <w:tcPr>
            <w:tcW w:w="7029"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70A0E5F9" w14:textId="77777777" w:rsidR="00A217E2" w:rsidRPr="00D5475F" w:rsidRDefault="00A217E2" w:rsidP="00E44DFB">
            <w:pPr>
              <w:pStyle w:val="a3"/>
              <w:rPr>
                <w:rFonts w:ascii="Times New Roman" w:hAnsi="Times New Roman" w:cs="Times New Roman"/>
                <w:lang w:eastAsia="uk-UA"/>
              </w:rPr>
            </w:pPr>
            <w:r w:rsidRPr="00D5475F">
              <w:rPr>
                <w:rFonts w:ascii="Times New Roman" w:hAnsi="Times New Roman" w:cs="Times New Roman"/>
                <w:lang w:eastAsia="uk-UA"/>
              </w:rPr>
              <w:t>6.1. Здійснення розрахунків за електричну енергію – система онлайн-розрахунків «Персональний кабінет» на web-сайті Постачальника (далі – Персональний кабінет).</w:t>
            </w:r>
          </w:p>
          <w:p w14:paraId="67A38481" w14:textId="77777777" w:rsidR="00A217E2" w:rsidRPr="00D5475F" w:rsidRDefault="00A217E2" w:rsidP="00E44DFB">
            <w:pPr>
              <w:pStyle w:val="a3"/>
              <w:rPr>
                <w:rFonts w:ascii="Times New Roman" w:hAnsi="Times New Roman" w:cs="Times New Roman"/>
                <w:lang w:eastAsia="uk-UA"/>
              </w:rPr>
            </w:pPr>
            <w:r w:rsidRPr="00D5475F">
              <w:rPr>
                <w:rFonts w:ascii="Times New Roman" w:hAnsi="Times New Roman" w:cs="Times New Roman"/>
                <w:lang w:eastAsia="uk-UA"/>
              </w:rPr>
              <w:t>6.2. Для реєстрації у Персональному кабінеті Споживач використовує такі дані:</w:t>
            </w:r>
          </w:p>
          <w:p w14:paraId="071F3D3B" w14:textId="77777777" w:rsidR="00A217E2" w:rsidRPr="00D5475F" w:rsidRDefault="00A217E2" w:rsidP="00E44DFB">
            <w:pPr>
              <w:pStyle w:val="a3"/>
              <w:rPr>
                <w:rFonts w:ascii="Times New Roman" w:hAnsi="Times New Roman" w:cs="Times New Roman"/>
                <w:lang w:eastAsia="uk-UA"/>
              </w:rPr>
            </w:pPr>
            <w:r w:rsidRPr="00D5475F">
              <w:rPr>
                <w:rFonts w:ascii="Times New Roman" w:hAnsi="Times New Roman" w:cs="Times New Roman"/>
                <w:lang w:eastAsia="uk-UA"/>
              </w:rPr>
              <w:t>6.2.1. ім’я та прізвище відповідальної особи _______________________________________________;</w:t>
            </w:r>
          </w:p>
          <w:p w14:paraId="547CB748" w14:textId="77777777" w:rsidR="00A217E2" w:rsidRPr="00D5475F" w:rsidRDefault="00A217E2" w:rsidP="00E44DFB">
            <w:pPr>
              <w:pStyle w:val="a3"/>
              <w:rPr>
                <w:rFonts w:ascii="Times New Roman" w:hAnsi="Times New Roman" w:cs="Times New Roman"/>
                <w:lang w:eastAsia="uk-UA"/>
              </w:rPr>
            </w:pPr>
            <w:r w:rsidRPr="00D5475F">
              <w:rPr>
                <w:rFonts w:ascii="Times New Roman" w:hAnsi="Times New Roman" w:cs="Times New Roman"/>
                <w:lang w:eastAsia="uk-UA"/>
              </w:rPr>
              <w:t>6.2.2. електронна пошта______________@___________;</w:t>
            </w:r>
          </w:p>
          <w:p w14:paraId="4F901D7F" w14:textId="77777777" w:rsidR="00A217E2" w:rsidRPr="00D5475F" w:rsidRDefault="00A217E2" w:rsidP="00E44DFB">
            <w:pPr>
              <w:pStyle w:val="a3"/>
              <w:rPr>
                <w:rFonts w:ascii="Times New Roman" w:hAnsi="Times New Roman" w:cs="Times New Roman"/>
                <w:lang w:eastAsia="uk-UA"/>
              </w:rPr>
            </w:pPr>
            <w:r w:rsidRPr="00D5475F">
              <w:rPr>
                <w:rFonts w:ascii="Times New Roman" w:hAnsi="Times New Roman" w:cs="Times New Roman"/>
                <w:lang w:eastAsia="uk-UA"/>
              </w:rPr>
              <w:t>6.2.3. контактний номер мобільного телефону.</w:t>
            </w:r>
          </w:p>
          <w:p w14:paraId="66C870E5" w14:textId="77777777" w:rsidR="00A217E2" w:rsidRPr="00D5475F" w:rsidRDefault="00A217E2" w:rsidP="00E44DFB">
            <w:pPr>
              <w:pStyle w:val="a3"/>
              <w:rPr>
                <w:rFonts w:ascii="Times New Roman" w:hAnsi="Times New Roman" w:cs="Times New Roman"/>
                <w:lang w:eastAsia="uk-UA"/>
              </w:rPr>
            </w:pPr>
            <w:r w:rsidRPr="00D5475F">
              <w:rPr>
                <w:rFonts w:ascii="Times New Roman" w:hAnsi="Times New Roman" w:cs="Times New Roman"/>
                <w:lang w:eastAsia="uk-UA"/>
              </w:rPr>
              <w:t>6.3. Онлайн-розрахунки Сторони проводять в електронному вигляді, а саме:</w:t>
            </w:r>
            <w:r w:rsidRPr="00D5475F">
              <w:rPr>
                <w:rFonts w:ascii="Times New Roman" w:hAnsi="Times New Roman" w:cs="Times New Roman"/>
                <w:i/>
                <w:iCs/>
                <w:lang w:eastAsia="uk-UA"/>
              </w:rPr>
              <w:t> </w:t>
            </w:r>
            <w:r w:rsidRPr="00D5475F">
              <w:rPr>
                <w:rFonts w:ascii="Times New Roman" w:hAnsi="Times New Roman" w:cs="Times New Roman"/>
                <w:lang w:eastAsia="uk-UA"/>
              </w:rPr>
              <w:t>акти, рахунки, повідомлення про припинення постачання електроенергії, акти звірки та інші документи (далі - Документи), якими Сторони здійснюють обмін у процесі виконання цього Договору надаються Сторонами в електронному вигляді через  Персональний кабінет. Такі електронні документи визначаються Сторонами як офіційні.</w:t>
            </w:r>
          </w:p>
          <w:p w14:paraId="329FE047" w14:textId="77777777" w:rsidR="00A217E2" w:rsidRPr="00D5475F" w:rsidRDefault="00A217E2" w:rsidP="00E44DFB">
            <w:pPr>
              <w:pStyle w:val="a3"/>
              <w:rPr>
                <w:rFonts w:ascii="Times New Roman" w:hAnsi="Times New Roman" w:cs="Times New Roman"/>
                <w:lang w:eastAsia="uk-UA"/>
              </w:rPr>
            </w:pPr>
            <w:r w:rsidRPr="00D5475F">
              <w:rPr>
                <w:rFonts w:ascii="Times New Roman" w:hAnsi="Times New Roman" w:cs="Times New Roman"/>
                <w:lang w:eastAsia="uk-UA"/>
              </w:rPr>
              <w:lastRenderedPageBreak/>
              <w:t>6.4. Споживач самостійно отримує рахунок на оплату електричної енергії не пізніше 10 (десятого) календарного дня наступного за розрахунковим періодом у Персональному кабінеті. Якщо рахунок за електроенергію не був отриманий Споживачем через Персональний кабінет на 10 (десятий) календарний день наступний за розрахунковим – він вважається таким, що вручений Постачальником Споживачу 10 (десятого) календарного дня наступного за розрахунковим місяцем та Споживач вважається з ними ознайомлений. Строк оплати такого рахунку обчислюється з наступного робочого дня після його вручення.</w:t>
            </w:r>
          </w:p>
          <w:p w14:paraId="3A6BCA87" w14:textId="77777777" w:rsidR="00A217E2" w:rsidRPr="00D5475F" w:rsidRDefault="00A217E2" w:rsidP="00E44DFB">
            <w:pPr>
              <w:pStyle w:val="a3"/>
              <w:rPr>
                <w:rFonts w:ascii="Times New Roman" w:hAnsi="Times New Roman" w:cs="Times New Roman"/>
                <w:lang w:eastAsia="uk-UA"/>
              </w:rPr>
            </w:pPr>
            <w:r w:rsidRPr="00D5475F">
              <w:rPr>
                <w:rFonts w:ascii="Times New Roman" w:hAnsi="Times New Roman" w:cs="Times New Roman"/>
                <w:lang w:eastAsia="uk-UA"/>
              </w:rPr>
              <w:t>6.5. Всі інформаційні повідомлення Постачальник направляє на електронну пошту Споживача та/або номер мобільного телефону (вказані у цьому Договорі). У разі зміни реєстраційних даних Споживач зобов’язується повідомити Постачальника про такі зміни та підписати додатковий правочин. У випадку неповідомлення Споживачем Постачальника про зміну реєстраційних даних, відповідальність за невиконання або неналежне виконання умов Договору несе Споживач. Сторони зобов’язуються не розголошувати реєстраційні дані, зокрема пароль доступу до Персонального кабінету та унікальний код Споживача.</w:t>
            </w:r>
          </w:p>
        </w:tc>
      </w:tr>
      <w:tr w:rsidR="004A6EDA" w:rsidRPr="00D5475F" w14:paraId="5399E6DC" w14:textId="77777777" w:rsidTr="00901A27">
        <w:tc>
          <w:tcPr>
            <w:tcW w:w="3195"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04E0B0F4" w14:textId="77777777" w:rsidR="00A217E2" w:rsidRPr="00D5475F" w:rsidRDefault="00225A94" w:rsidP="00E44DFB">
            <w:pPr>
              <w:pStyle w:val="a3"/>
              <w:rPr>
                <w:rFonts w:ascii="Times New Roman" w:hAnsi="Times New Roman" w:cs="Times New Roman"/>
                <w:lang w:eastAsia="uk-UA"/>
              </w:rPr>
            </w:pPr>
            <w:r w:rsidRPr="00D5475F">
              <w:rPr>
                <w:rFonts w:ascii="Times New Roman" w:hAnsi="Times New Roman" w:cs="Times New Roman"/>
                <w:lang w:val="en-US" w:eastAsia="uk-UA"/>
              </w:rPr>
              <w:lastRenderedPageBreak/>
              <w:t>7.</w:t>
            </w:r>
            <w:r w:rsidR="00A217E2" w:rsidRPr="00D5475F">
              <w:rPr>
                <w:rFonts w:ascii="Times New Roman" w:hAnsi="Times New Roman" w:cs="Times New Roman"/>
                <w:lang w:eastAsia="uk-UA"/>
              </w:rPr>
              <w:t>Розмір пені/ штрафу за порушення термінів оплати</w:t>
            </w:r>
          </w:p>
        </w:tc>
        <w:tc>
          <w:tcPr>
            <w:tcW w:w="7029"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3AF13C0F" w14:textId="77777777" w:rsidR="00A217E2" w:rsidRPr="00D5475F" w:rsidRDefault="00A217E2" w:rsidP="009C7677">
            <w:pPr>
              <w:pStyle w:val="a3"/>
              <w:rPr>
                <w:rFonts w:ascii="Times New Roman" w:hAnsi="Times New Roman" w:cs="Times New Roman"/>
                <w:lang w:eastAsia="uk-UA"/>
              </w:rPr>
            </w:pPr>
            <w:r w:rsidRPr="00D5475F">
              <w:rPr>
                <w:rFonts w:ascii="Times New Roman" w:hAnsi="Times New Roman" w:cs="Times New Roman"/>
                <w:lang w:eastAsia="uk-UA"/>
              </w:rPr>
              <w:t>7.1. За порушення термінів оплати за спожиту електроенергію, визначених відповідним Договором, Споживач сплачує Постачальнику пеню у розмірі подвійної облікової ставки НБУ за кожен день прострочення платежу, враховуючи день фактичної оплати, 3 % річних та інфляційні збитки. Ця сума зазначається у розрахунковому документі окремим рядком.</w:t>
            </w:r>
            <w:r w:rsidR="00BA69CA" w:rsidRPr="00D5475F">
              <w:rPr>
                <w:rFonts w:ascii="Times New Roman" w:hAnsi="Times New Roman" w:cs="Times New Roman"/>
                <w:lang w:eastAsia="uk-UA"/>
              </w:rPr>
              <w:t xml:space="preserve"> </w:t>
            </w:r>
            <w:r w:rsidR="00BA69CA" w:rsidRPr="00D5475F">
              <w:rPr>
                <w:rFonts w:ascii="Times New Roman" w:hAnsi="Times New Roman" w:cs="Times New Roman"/>
              </w:rPr>
              <w:t xml:space="preserve">Даний пункт у період </w:t>
            </w:r>
            <w:r w:rsidR="009C7677" w:rsidRPr="00D5475F">
              <w:rPr>
                <w:rFonts w:ascii="Times New Roman" w:hAnsi="Times New Roman" w:cs="Times New Roman"/>
              </w:rPr>
              <w:t>воєнного стану</w:t>
            </w:r>
            <w:r w:rsidR="00BA69CA" w:rsidRPr="00D5475F">
              <w:rPr>
                <w:rFonts w:ascii="Times New Roman" w:hAnsi="Times New Roman" w:cs="Times New Roman"/>
              </w:rPr>
              <w:t xml:space="preserve"> не застосовується.</w:t>
            </w:r>
          </w:p>
        </w:tc>
      </w:tr>
      <w:tr w:rsidR="00901A27" w:rsidRPr="00D5475F" w14:paraId="240B6627" w14:textId="77777777" w:rsidTr="00901A27">
        <w:tc>
          <w:tcPr>
            <w:tcW w:w="3195"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523A76D7" w14:textId="77777777" w:rsidR="00901A27" w:rsidRPr="00D5475F" w:rsidRDefault="00901A27" w:rsidP="00901A27">
            <w:pPr>
              <w:pStyle w:val="a3"/>
              <w:rPr>
                <w:rFonts w:ascii="Times New Roman" w:hAnsi="Times New Roman" w:cs="Times New Roman"/>
                <w:lang w:eastAsia="uk-UA"/>
              </w:rPr>
            </w:pPr>
            <w:r w:rsidRPr="00D5475F">
              <w:rPr>
                <w:rFonts w:ascii="Times New Roman" w:hAnsi="Times New Roman" w:cs="Times New Roman"/>
                <w:lang w:val="en-US" w:eastAsia="uk-UA"/>
              </w:rPr>
              <w:t>8.</w:t>
            </w:r>
            <w:r w:rsidRPr="00D5475F">
              <w:rPr>
                <w:rFonts w:ascii="Times New Roman" w:hAnsi="Times New Roman" w:cs="Times New Roman"/>
                <w:lang w:eastAsia="uk-UA"/>
              </w:rPr>
              <w:t>Термін дії договору та умови пролонгації</w:t>
            </w:r>
          </w:p>
        </w:tc>
        <w:tc>
          <w:tcPr>
            <w:tcW w:w="7029"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27EDE5AE" w14:textId="77777777" w:rsidR="00901A27" w:rsidRPr="00D5475F" w:rsidRDefault="00901A27" w:rsidP="00C56AA3">
            <w:pPr>
              <w:pStyle w:val="a3"/>
              <w:jc w:val="both"/>
              <w:rPr>
                <w:rFonts w:ascii="Times New Roman" w:hAnsi="Times New Roman" w:cs="Times New Roman"/>
                <w:lang w:eastAsia="uk-UA"/>
              </w:rPr>
            </w:pPr>
            <w:r w:rsidRPr="00D5475F">
              <w:rPr>
                <w:rFonts w:ascii="Times New Roman" w:hAnsi="Times New Roman" w:cs="Times New Roman"/>
                <w:lang w:eastAsia="uk-UA"/>
              </w:rPr>
              <w:t>8.1. Договір набирає чинності з дати постачання електричної енергії, вказаної у Заяві-приєднання Споживача до умов публічного договору про постачання електричної енергії, якщо протягом трьох робочих днів споживачу не буде повідомлено про його невідповідність критеріям обраної комерційної пропозиції.</w:t>
            </w:r>
          </w:p>
          <w:p w14:paraId="6C911A4D" w14:textId="77777777" w:rsidR="00901A27" w:rsidRPr="00D5475F" w:rsidRDefault="00901A27" w:rsidP="00C56AA3">
            <w:pPr>
              <w:tabs>
                <w:tab w:val="left" w:pos="521"/>
              </w:tabs>
              <w:spacing w:after="0" w:line="240" w:lineRule="auto"/>
              <w:jc w:val="both"/>
              <w:rPr>
                <w:rFonts w:ascii="Times New Roman" w:eastAsia="Times New Roman" w:hAnsi="Times New Roman" w:cs="Times New Roman"/>
                <w:lang w:eastAsia="uk-UA"/>
              </w:rPr>
            </w:pPr>
            <w:r w:rsidRPr="00D5475F">
              <w:rPr>
                <w:rFonts w:ascii="Times New Roman" w:eastAsia="Times New Roman" w:hAnsi="Times New Roman" w:cs="Times New Roman"/>
                <w:lang w:eastAsia="uk-UA"/>
              </w:rPr>
              <w:t>З споживачами, об′єкти яких приєднуються до мереж вперше, в тому числі, якщо  заява-приєднання подана через оператора системи розподілу, договір укладається з відкладальною умовою, відповідно до п.3.2.13. ПРРЕЕ та набирає чинності з дати включення комерційних точок обліку споживача оператором системи розподілу до реєстрів точок комерційного обліку постачальника.</w:t>
            </w:r>
          </w:p>
          <w:p w14:paraId="15AAF0DD" w14:textId="77777777" w:rsidR="00901A27" w:rsidRPr="00D5475F" w:rsidRDefault="00901A27" w:rsidP="00C56AA3">
            <w:pPr>
              <w:pStyle w:val="a3"/>
              <w:jc w:val="both"/>
              <w:rPr>
                <w:rFonts w:ascii="Times New Roman" w:hAnsi="Times New Roman" w:cs="Times New Roman"/>
                <w:lang w:eastAsia="uk-UA"/>
              </w:rPr>
            </w:pPr>
            <w:r w:rsidRPr="00D5475F">
              <w:rPr>
                <w:rFonts w:ascii="Times New Roman" w:hAnsi="Times New Roman" w:cs="Times New Roman"/>
                <w:lang w:eastAsia="uk-UA"/>
              </w:rPr>
              <w:t>8.2. Договір укладається на умовах даної Комерційної пропозиції протягом дії фіксованої ціни відповідно до постанови Кабінету Міністрів України № 483 від 05 червня 2019 (зі змінами) та продовжується на умовах  Комерційної пропозиції №</w:t>
            </w:r>
            <w:r w:rsidRPr="00D5475F">
              <w:rPr>
                <w:rFonts w:ascii="Times New Roman" w:eastAsia="Times New Roman" w:hAnsi="Times New Roman" w:cs="Times New Roman"/>
                <w:bCs/>
                <w:lang w:eastAsia="uk-UA"/>
              </w:rPr>
              <w:t xml:space="preserve">2 «Для побутових потреб (по факту) </w:t>
            </w:r>
            <w:r w:rsidRPr="00D5475F">
              <w:rPr>
                <w:rFonts w:ascii="Times New Roman" w:hAnsi="Times New Roman" w:cs="Times New Roman"/>
              </w:rPr>
              <w:t>із застосуванням ціни, не диференційованої за періодами часу (годинами) доби</w:t>
            </w:r>
            <w:r w:rsidRPr="00D5475F">
              <w:rPr>
                <w:rFonts w:ascii="Times New Roman" w:eastAsia="Times New Roman" w:hAnsi="Times New Roman" w:cs="Times New Roman"/>
                <w:bCs/>
                <w:lang w:eastAsia="uk-UA"/>
              </w:rPr>
              <w:t>».</w:t>
            </w:r>
            <w:r w:rsidRPr="00D5475F">
              <w:rPr>
                <w:rFonts w:ascii="Times New Roman" w:eastAsia="Times New Roman" w:hAnsi="Times New Roman" w:cs="Times New Roman"/>
                <w:b/>
                <w:bCs/>
                <w:lang w:eastAsia="uk-UA"/>
              </w:rPr>
              <w:t xml:space="preserve"> </w:t>
            </w:r>
            <w:r w:rsidRPr="00D5475F">
              <w:rPr>
                <w:rFonts w:ascii="Times New Roman" w:hAnsi="Times New Roman" w:cs="Times New Roman"/>
                <w:lang w:eastAsia="uk-UA"/>
              </w:rPr>
              <w:t xml:space="preserve">Договір вважається </w:t>
            </w:r>
            <w:r w:rsidR="008E4C6B" w:rsidRPr="00D5475F">
              <w:rPr>
                <w:rFonts w:ascii="Times New Roman" w:hAnsi="Times New Roman" w:cs="Times New Roman"/>
                <w:lang w:eastAsia="uk-UA"/>
              </w:rPr>
              <w:t xml:space="preserve">автоиатично </w:t>
            </w:r>
            <w:r w:rsidRPr="00D5475F">
              <w:rPr>
                <w:rFonts w:ascii="Times New Roman" w:hAnsi="Times New Roman" w:cs="Times New Roman"/>
                <w:lang w:eastAsia="uk-UA"/>
              </w:rPr>
              <w:t>продовженим на кожен  наступний місяць, якщо за 21 календарний день до закінчення терміну дії Договору жодною із Сторін не буде заявлено про припинення його дії або перегляд його умов.</w:t>
            </w:r>
          </w:p>
          <w:p w14:paraId="59E70F8C" w14:textId="77777777" w:rsidR="00901A27" w:rsidRPr="00D5475F" w:rsidRDefault="00901A27" w:rsidP="00C56AA3">
            <w:pPr>
              <w:tabs>
                <w:tab w:val="left" w:pos="521"/>
              </w:tabs>
              <w:spacing w:after="0" w:line="240" w:lineRule="auto"/>
              <w:jc w:val="both"/>
              <w:rPr>
                <w:rFonts w:ascii="Times New Roman" w:eastAsia="Times New Roman" w:hAnsi="Times New Roman" w:cs="Times New Roman"/>
                <w:lang w:eastAsia="uk-UA"/>
              </w:rPr>
            </w:pPr>
            <w:r w:rsidRPr="00D5475F">
              <w:rPr>
                <w:rFonts w:ascii="Times New Roman" w:eastAsia="Times New Roman" w:hAnsi="Times New Roman" w:cs="Times New Roman"/>
                <w:lang w:eastAsia="uk-UA"/>
              </w:rPr>
              <w:t>8.3.      Дія Договору припиняється з таких підстав:</w:t>
            </w:r>
          </w:p>
          <w:p w14:paraId="104C4FB8" w14:textId="77777777" w:rsidR="00901A27" w:rsidRPr="00D5475F" w:rsidRDefault="00901A27" w:rsidP="00C56AA3">
            <w:pPr>
              <w:tabs>
                <w:tab w:val="left" w:pos="521"/>
              </w:tabs>
              <w:spacing w:after="0" w:line="240" w:lineRule="auto"/>
              <w:jc w:val="both"/>
              <w:rPr>
                <w:rFonts w:ascii="Times New Roman" w:eastAsia="Times New Roman" w:hAnsi="Times New Roman" w:cs="Times New Roman"/>
                <w:lang w:eastAsia="uk-UA"/>
              </w:rPr>
            </w:pPr>
            <w:r w:rsidRPr="00D5475F">
              <w:rPr>
                <w:rFonts w:ascii="Times New Roman" w:eastAsia="Times New Roman" w:hAnsi="Times New Roman" w:cs="Times New Roman"/>
                <w:lang w:eastAsia="uk-UA"/>
              </w:rPr>
              <w:t xml:space="preserve">8.3.1. </w:t>
            </w:r>
            <w:r w:rsidRPr="00D5475F">
              <w:rPr>
                <w:rStyle w:val="st42"/>
                <w:rFonts w:ascii="Times New Roman" w:hAnsi="Times New Roman" w:cs="Times New Roman"/>
              </w:rPr>
              <w:t>Закінчення строку, призупинення дії ліцензії з провадження господарської діяльності з постачання електричної енергії Постачальником або її анулювання</w:t>
            </w:r>
            <w:r w:rsidRPr="00D5475F">
              <w:rPr>
                <w:rFonts w:ascii="Times New Roman" w:eastAsia="Times New Roman" w:hAnsi="Times New Roman" w:cs="Times New Roman"/>
                <w:lang w:eastAsia="uk-UA"/>
              </w:rPr>
              <w:t>;</w:t>
            </w:r>
          </w:p>
          <w:p w14:paraId="5A9B01DC" w14:textId="77777777" w:rsidR="00901A27" w:rsidRPr="00D5475F" w:rsidRDefault="00901A27" w:rsidP="00C56AA3">
            <w:pPr>
              <w:tabs>
                <w:tab w:val="left" w:pos="521"/>
              </w:tabs>
              <w:spacing w:after="0" w:line="240" w:lineRule="auto"/>
              <w:jc w:val="both"/>
              <w:rPr>
                <w:rFonts w:ascii="Times New Roman" w:eastAsia="Times New Roman" w:hAnsi="Times New Roman" w:cs="Times New Roman"/>
                <w:lang w:eastAsia="uk-UA"/>
              </w:rPr>
            </w:pPr>
            <w:r w:rsidRPr="00D5475F">
              <w:rPr>
                <w:rFonts w:ascii="Times New Roman" w:eastAsia="Times New Roman" w:hAnsi="Times New Roman" w:cs="Times New Roman"/>
                <w:lang w:eastAsia="uk-UA"/>
              </w:rPr>
              <w:t xml:space="preserve">8.3.2.  </w:t>
            </w:r>
            <w:r w:rsidRPr="00D5475F">
              <w:rPr>
                <w:rStyle w:val="st42"/>
                <w:rFonts w:ascii="Times New Roman" w:hAnsi="Times New Roman" w:cs="Times New Roman"/>
              </w:rPr>
              <w:t>У разі зміни власника об'єкта Споживача та отримання від нового власника (користувача) або оператора системи розподілу документального підтвердження щодо укладення договору про надання послуг з розподілу електричної енергії з новим власником (користувачем) - у частині постачання</w:t>
            </w:r>
            <w:r w:rsidRPr="00D5475F">
              <w:rPr>
                <w:rFonts w:ascii="Times New Roman" w:eastAsia="Times New Roman" w:hAnsi="Times New Roman" w:cs="Times New Roman"/>
                <w:lang w:eastAsia="uk-UA"/>
              </w:rPr>
              <w:t>;</w:t>
            </w:r>
          </w:p>
          <w:p w14:paraId="07A341B9" w14:textId="77777777" w:rsidR="00901A27" w:rsidRPr="00D5475F" w:rsidRDefault="00901A27" w:rsidP="00C56AA3">
            <w:pPr>
              <w:tabs>
                <w:tab w:val="left" w:pos="521"/>
              </w:tabs>
              <w:spacing w:after="0" w:line="240" w:lineRule="auto"/>
              <w:jc w:val="both"/>
              <w:rPr>
                <w:rFonts w:ascii="Times New Roman" w:eastAsia="Times New Roman" w:hAnsi="Times New Roman" w:cs="Times New Roman"/>
                <w:strike/>
                <w:lang w:eastAsia="uk-UA"/>
              </w:rPr>
            </w:pPr>
            <w:r w:rsidRPr="00D5475F">
              <w:rPr>
                <w:rFonts w:ascii="Times New Roman" w:eastAsia="Times New Roman" w:hAnsi="Times New Roman" w:cs="Times New Roman"/>
                <w:lang w:eastAsia="uk-UA"/>
              </w:rPr>
              <w:lastRenderedPageBreak/>
              <w:t xml:space="preserve">8.3.3.   </w:t>
            </w:r>
            <w:r w:rsidRPr="00D5475F">
              <w:rPr>
                <w:rStyle w:val="st42"/>
                <w:rFonts w:ascii="Times New Roman" w:hAnsi="Times New Roman" w:cs="Times New Roman"/>
              </w:rPr>
              <w:t>Банкрутства або припинення господарської діяльності Постачальником</w:t>
            </w:r>
            <w:r w:rsidRPr="00D5475F">
              <w:rPr>
                <w:rFonts w:ascii="Times New Roman" w:eastAsia="Times New Roman" w:hAnsi="Times New Roman" w:cs="Times New Roman"/>
                <w:lang w:eastAsia="uk-UA"/>
              </w:rPr>
              <w:t>;</w:t>
            </w:r>
          </w:p>
          <w:p w14:paraId="1D1CFFCB" w14:textId="77777777" w:rsidR="00901A27" w:rsidRPr="00D5475F" w:rsidRDefault="00901A27" w:rsidP="00C56AA3">
            <w:pPr>
              <w:tabs>
                <w:tab w:val="left" w:pos="521"/>
              </w:tabs>
              <w:spacing w:after="0" w:line="240" w:lineRule="auto"/>
              <w:jc w:val="both"/>
              <w:rPr>
                <w:rStyle w:val="st42"/>
                <w:rFonts w:ascii="Times New Roman" w:hAnsi="Times New Roman" w:cs="Times New Roman"/>
              </w:rPr>
            </w:pPr>
            <w:r w:rsidRPr="00D5475F">
              <w:rPr>
                <w:rFonts w:ascii="Times New Roman" w:eastAsia="Times New Roman" w:hAnsi="Times New Roman" w:cs="Times New Roman"/>
                <w:lang w:eastAsia="uk-UA"/>
              </w:rPr>
              <w:t xml:space="preserve">8.3.4. </w:t>
            </w:r>
            <w:r w:rsidRPr="00D5475F">
              <w:rPr>
                <w:rStyle w:val="st42"/>
                <w:rFonts w:ascii="Times New Roman" w:hAnsi="Times New Roman" w:cs="Times New Roman"/>
              </w:rPr>
              <w:t>У разі зміни Постачальника - у частині постачання електроенергії;</w:t>
            </w:r>
          </w:p>
          <w:p w14:paraId="7C8DE150" w14:textId="77777777" w:rsidR="00901A27" w:rsidRPr="00D5475F" w:rsidRDefault="00901A27" w:rsidP="00C56AA3">
            <w:pPr>
              <w:tabs>
                <w:tab w:val="left" w:pos="521"/>
              </w:tabs>
              <w:spacing w:after="0" w:line="240" w:lineRule="auto"/>
              <w:jc w:val="both"/>
              <w:rPr>
                <w:rFonts w:ascii="Times New Roman" w:eastAsia="Times New Roman" w:hAnsi="Times New Roman" w:cs="Times New Roman"/>
                <w:lang w:eastAsia="uk-UA"/>
              </w:rPr>
            </w:pPr>
            <w:r w:rsidRPr="00D5475F">
              <w:rPr>
                <w:rStyle w:val="st42"/>
                <w:rFonts w:ascii="Times New Roman" w:hAnsi="Times New Roman" w:cs="Times New Roman"/>
                <w:lang w:val="ru-RU"/>
              </w:rPr>
              <w:t xml:space="preserve">8.3.5. </w:t>
            </w:r>
            <w:r w:rsidRPr="00D5475F">
              <w:rPr>
                <w:rStyle w:val="st42"/>
                <w:rFonts w:ascii="Times New Roman" w:hAnsi="Times New Roman" w:cs="Times New Roman"/>
              </w:rPr>
              <w:t xml:space="preserve"> У разі неприйняття Споживачем своєчасно запропонованих (за 20 днів до введення в дію) Постачальником змін до Договору, що викликані змінами регульованих складових ціни (тарифу на послуги з передачі та/або розподілу електричної енергії) та/або змінами в нормативно-правових актах щодо формування цієї ціни або щодо умов постачання електричної енергії</w:t>
            </w:r>
            <w:r w:rsidRPr="00D5475F">
              <w:rPr>
                <w:rFonts w:ascii="Times New Roman" w:hAnsi="Times New Roman" w:cs="Times New Roman"/>
              </w:rPr>
              <w:t>.</w:t>
            </w:r>
          </w:p>
          <w:p w14:paraId="6A09C0B5" w14:textId="77777777" w:rsidR="00901A27" w:rsidRPr="00D5475F" w:rsidRDefault="00901A27" w:rsidP="00C56AA3">
            <w:pPr>
              <w:pStyle w:val="a3"/>
              <w:jc w:val="both"/>
              <w:rPr>
                <w:rFonts w:ascii="Times New Roman" w:hAnsi="Times New Roman" w:cs="Times New Roman"/>
                <w:strike/>
                <w:lang w:eastAsia="uk-UA"/>
              </w:rPr>
            </w:pPr>
          </w:p>
          <w:p w14:paraId="1332C955" w14:textId="77777777" w:rsidR="00901A27" w:rsidRPr="00D5475F" w:rsidRDefault="00901A27" w:rsidP="00C56AA3">
            <w:pPr>
              <w:pStyle w:val="a3"/>
              <w:jc w:val="both"/>
              <w:rPr>
                <w:rFonts w:ascii="Times New Roman" w:hAnsi="Times New Roman" w:cs="Times New Roman"/>
                <w:lang w:eastAsia="uk-UA"/>
              </w:rPr>
            </w:pPr>
            <w:r w:rsidRPr="00D5475F">
              <w:rPr>
                <w:rFonts w:ascii="Times New Roman" w:hAnsi="Times New Roman" w:cs="Times New Roman"/>
                <w:lang w:eastAsia="uk-UA"/>
              </w:rPr>
              <w:t>8.4. У разі, якщо на момент подання заяви-приєднання до Договору на об’єкт Споживача було припинено/призупинено постачання електричної енергії або надання послуг з розподілу (передачі) електричної енергії, то постачання здійснюється після відновлення, у встановленому законодавством порядку, надання відповідних послуг.</w:t>
            </w:r>
          </w:p>
          <w:p w14:paraId="1E6272BC" w14:textId="77777777" w:rsidR="00901A27" w:rsidRPr="00D5475F" w:rsidRDefault="00901A27" w:rsidP="00C56AA3">
            <w:pPr>
              <w:pStyle w:val="a3"/>
              <w:jc w:val="both"/>
              <w:rPr>
                <w:rFonts w:ascii="Times New Roman" w:hAnsi="Times New Roman" w:cs="Times New Roman"/>
                <w:lang w:eastAsia="uk-UA"/>
              </w:rPr>
            </w:pPr>
            <w:r w:rsidRPr="00D5475F">
              <w:rPr>
                <w:rFonts w:ascii="Times New Roman" w:hAnsi="Times New Roman" w:cs="Times New Roman"/>
                <w:lang w:eastAsia="uk-UA"/>
              </w:rPr>
              <w:t>8.5. Договір може бути пролонгований на аналогічний період (на такий же термін) за умови відсутності письмового повідомлення від однієї із сторін про розірвання Договору.</w:t>
            </w:r>
          </w:p>
          <w:p w14:paraId="41D85A42" w14:textId="77777777" w:rsidR="00901A27" w:rsidRPr="00D5475F" w:rsidRDefault="00901A27" w:rsidP="00C56AA3">
            <w:pPr>
              <w:pStyle w:val="a3"/>
              <w:jc w:val="both"/>
              <w:rPr>
                <w:rFonts w:ascii="Times New Roman" w:hAnsi="Times New Roman" w:cs="Times New Roman"/>
                <w:lang w:eastAsia="uk-UA"/>
              </w:rPr>
            </w:pPr>
            <w:r w:rsidRPr="00D5475F">
              <w:rPr>
                <w:rFonts w:ascii="Times New Roman" w:hAnsi="Times New Roman" w:cs="Times New Roman"/>
              </w:rPr>
              <w:t>8.6. Якщо в процесі виконання договору Постачальником буде встановлено невідповідність Споживача обраній комерційній пропозиції, Споживач має обрати іншу комерційну пропозицію, про що повідомляє Постачальника шляхом надання відповідної заяви-приєднання протягом 5 робочих днів з дати отримання відповідного повідомлення Постачальника. У разі необрання Споживачем іншої комерційної пропозиції у вказаний вище строк, Постачальник самостійно визначає комерційну пропозицію, критеріям якої відповідає споживач, за умовами якої буде відбуватись постачання електричної енергії. За сплином встановленого строку для обрання комерційної пропозиції (у разі її необрання споживачем) договір  набирає чинності на умовах нової комерційної пропозиції, визначеної постачальником, про що повідомляється споживач.</w:t>
            </w:r>
          </w:p>
        </w:tc>
      </w:tr>
      <w:tr w:rsidR="004A6EDA" w:rsidRPr="00D5475F" w14:paraId="45904886" w14:textId="77777777" w:rsidTr="00901A27">
        <w:tc>
          <w:tcPr>
            <w:tcW w:w="3195"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645AA747" w14:textId="77777777" w:rsidR="00A217E2" w:rsidRPr="00D5475F" w:rsidRDefault="003D5A11" w:rsidP="00E44DFB">
            <w:pPr>
              <w:pStyle w:val="a3"/>
              <w:rPr>
                <w:rFonts w:ascii="Times New Roman" w:hAnsi="Times New Roman" w:cs="Times New Roman"/>
                <w:lang w:eastAsia="uk-UA"/>
              </w:rPr>
            </w:pPr>
            <w:r w:rsidRPr="00D5475F">
              <w:rPr>
                <w:rFonts w:ascii="Times New Roman" w:hAnsi="Times New Roman" w:cs="Times New Roman"/>
                <w:lang w:eastAsia="uk-UA"/>
              </w:rPr>
              <w:lastRenderedPageBreak/>
              <w:t>9.</w:t>
            </w:r>
            <w:r w:rsidR="00A217E2" w:rsidRPr="00D5475F">
              <w:rPr>
                <w:rFonts w:ascii="Times New Roman" w:hAnsi="Times New Roman" w:cs="Times New Roman"/>
                <w:lang w:eastAsia="uk-UA"/>
              </w:rPr>
              <w:t>Компенсація за недотримання комерційної якості надання послуг</w:t>
            </w:r>
          </w:p>
        </w:tc>
        <w:tc>
          <w:tcPr>
            <w:tcW w:w="7029"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04D04914" w14:textId="77777777" w:rsidR="00A217E2" w:rsidRPr="00D5475F" w:rsidRDefault="00A217E2" w:rsidP="00E44DFB">
            <w:pPr>
              <w:pStyle w:val="a3"/>
              <w:rPr>
                <w:rFonts w:ascii="Times New Roman" w:hAnsi="Times New Roman" w:cs="Times New Roman"/>
                <w:lang w:eastAsia="uk-UA"/>
              </w:rPr>
            </w:pPr>
            <w:r w:rsidRPr="00D5475F">
              <w:rPr>
                <w:rFonts w:ascii="Times New Roman" w:hAnsi="Times New Roman" w:cs="Times New Roman"/>
                <w:lang w:eastAsia="uk-UA"/>
              </w:rPr>
              <w:t>9.1. Компенсація за недотримання постачальником комерційної якості надання послуг надається у порядку та розмірі, визначеному НКРЕКП.</w:t>
            </w:r>
          </w:p>
        </w:tc>
      </w:tr>
      <w:tr w:rsidR="004A6EDA" w:rsidRPr="00D5475F" w14:paraId="19EAEFBC" w14:textId="77777777" w:rsidTr="00901A27">
        <w:tc>
          <w:tcPr>
            <w:tcW w:w="3195"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4B3B28BA" w14:textId="77777777" w:rsidR="00A217E2" w:rsidRPr="00D5475F" w:rsidRDefault="003D5A11" w:rsidP="00E44DFB">
            <w:pPr>
              <w:pStyle w:val="a3"/>
              <w:rPr>
                <w:rFonts w:ascii="Times New Roman" w:hAnsi="Times New Roman" w:cs="Times New Roman"/>
                <w:lang w:eastAsia="uk-UA"/>
              </w:rPr>
            </w:pPr>
            <w:r w:rsidRPr="00D5475F">
              <w:rPr>
                <w:rFonts w:ascii="Times New Roman" w:hAnsi="Times New Roman" w:cs="Times New Roman"/>
                <w:lang w:eastAsia="uk-UA"/>
              </w:rPr>
              <w:t>10.</w:t>
            </w:r>
            <w:r w:rsidR="00A217E2" w:rsidRPr="00D5475F">
              <w:rPr>
                <w:rFonts w:ascii="Times New Roman" w:hAnsi="Times New Roman" w:cs="Times New Roman"/>
                <w:lang w:eastAsia="uk-UA"/>
              </w:rPr>
              <w:t>Звіряння розрахунків</w:t>
            </w:r>
          </w:p>
        </w:tc>
        <w:tc>
          <w:tcPr>
            <w:tcW w:w="7029"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37963E90" w14:textId="77777777" w:rsidR="00A217E2" w:rsidRPr="00D5475F" w:rsidRDefault="00A217E2" w:rsidP="00E44DFB">
            <w:pPr>
              <w:pStyle w:val="a3"/>
              <w:rPr>
                <w:rFonts w:ascii="Times New Roman" w:hAnsi="Times New Roman" w:cs="Times New Roman"/>
                <w:lang w:eastAsia="uk-UA"/>
              </w:rPr>
            </w:pPr>
            <w:r w:rsidRPr="00D5475F">
              <w:rPr>
                <w:rFonts w:ascii="Times New Roman" w:hAnsi="Times New Roman" w:cs="Times New Roman"/>
                <w:lang w:eastAsia="uk-UA"/>
              </w:rPr>
              <w:t>10.1. Звіряння фактичних розрахунків з підписанням відповідного акту проводиться за вимогою Сторін.</w:t>
            </w:r>
          </w:p>
        </w:tc>
      </w:tr>
      <w:tr w:rsidR="004A6EDA" w:rsidRPr="00D5475F" w14:paraId="3410FC66" w14:textId="77777777" w:rsidTr="00901A27">
        <w:tc>
          <w:tcPr>
            <w:tcW w:w="3195"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64FBB578" w14:textId="77777777" w:rsidR="00A217E2" w:rsidRPr="00D5475F" w:rsidRDefault="003D5A11" w:rsidP="00E44DFB">
            <w:pPr>
              <w:pStyle w:val="a3"/>
              <w:rPr>
                <w:rFonts w:ascii="Times New Roman" w:hAnsi="Times New Roman" w:cs="Times New Roman"/>
                <w:lang w:eastAsia="uk-UA"/>
              </w:rPr>
            </w:pPr>
            <w:r w:rsidRPr="00D5475F">
              <w:rPr>
                <w:rFonts w:ascii="Times New Roman" w:hAnsi="Times New Roman" w:cs="Times New Roman"/>
                <w:lang w:eastAsia="uk-UA"/>
              </w:rPr>
              <w:t>11.</w:t>
            </w:r>
            <w:r w:rsidR="00A217E2" w:rsidRPr="00D5475F">
              <w:rPr>
                <w:rFonts w:ascii="Times New Roman" w:hAnsi="Times New Roman" w:cs="Times New Roman"/>
                <w:lang w:eastAsia="uk-UA"/>
              </w:rPr>
              <w:t>Територія здійснення ліцензованої діяльності</w:t>
            </w:r>
          </w:p>
        </w:tc>
        <w:tc>
          <w:tcPr>
            <w:tcW w:w="7029"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276DA2F3" w14:textId="77777777" w:rsidR="00A217E2" w:rsidRPr="00D5475F" w:rsidRDefault="00411FEA" w:rsidP="00E44DFB">
            <w:pPr>
              <w:pStyle w:val="a3"/>
              <w:rPr>
                <w:rFonts w:ascii="Times New Roman" w:hAnsi="Times New Roman" w:cs="Times New Roman"/>
                <w:lang w:eastAsia="uk-UA"/>
              </w:rPr>
            </w:pPr>
            <w:r w:rsidRPr="00D5475F">
              <w:rPr>
                <w:rFonts w:ascii="Times New Roman" w:eastAsia="Times New Roman" w:hAnsi="Times New Roman" w:cs="Times New Roman"/>
                <w:lang w:eastAsia="uk-UA"/>
              </w:rPr>
              <w:t>11.1.</w:t>
            </w:r>
            <w:r w:rsidR="00641D95" w:rsidRPr="00D5475F">
              <w:rPr>
                <w:rFonts w:ascii="Times New Roman" w:eastAsia="Times New Roman" w:hAnsi="Times New Roman" w:cs="Times New Roman"/>
                <w:lang w:eastAsia="uk-UA"/>
              </w:rPr>
              <w:t xml:space="preserve"> території Івано-Франківської області.</w:t>
            </w:r>
          </w:p>
        </w:tc>
      </w:tr>
      <w:tr w:rsidR="004A6EDA" w:rsidRPr="00D5475F" w14:paraId="289F46F1" w14:textId="77777777" w:rsidTr="00901A27">
        <w:tc>
          <w:tcPr>
            <w:tcW w:w="3195"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0AAFB0C5" w14:textId="77777777" w:rsidR="00A217E2" w:rsidRPr="00D5475F" w:rsidRDefault="003D5A11" w:rsidP="00E44DFB">
            <w:pPr>
              <w:pStyle w:val="a3"/>
              <w:rPr>
                <w:rFonts w:ascii="Times New Roman" w:hAnsi="Times New Roman" w:cs="Times New Roman"/>
                <w:lang w:eastAsia="uk-UA"/>
              </w:rPr>
            </w:pPr>
            <w:r w:rsidRPr="00D5475F">
              <w:rPr>
                <w:rFonts w:ascii="Times New Roman" w:hAnsi="Times New Roman" w:cs="Times New Roman"/>
                <w:lang w:eastAsia="uk-UA"/>
              </w:rPr>
              <w:t>12.</w:t>
            </w:r>
            <w:r w:rsidR="00A217E2" w:rsidRPr="00D5475F">
              <w:rPr>
                <w:rFonts w:ascii="Times New Roman" w:hAnsi="Times New Roman" w:cs="Times New Roman"/>
                <w:lang w:eastAsia="uk-UA"/>
              </w:rPr>
              <w:t>Урахування пільг, субсидій</w:t>
            </w:r>
          </w:p>
        </w:tc>
        <w:tc>
          <w:tcPr>
            <w:tcW w:w="7029"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111D35A2" w14:textId="77777777" w:rsidR="00A217E2" w:rsidRPr="00D5475F" w:rsidRDefault="003D23EE" w:rsidP="00E44DFB">
            <w:pPr>
              <w:pStyle w:val="a3"/>
              <w:rPr>
                <w:rFonts w:ascii="Times New Roman" w:hAnsi="Times New Roman" w:cs="Times New Roman"/>
                <w:lang w:eastAsia="uk-UA"/>
              </w:rPr>
            </w:pPr>
            <w:r w:rsidRPr="00D5475F">
              <w:rPr>
                <w:rFonts w:ascii="Times New Roman" w:hAnsi="Times New Roman" w:cs="Times New Roman"/>
                <w:lang w:eastAsia="uk-UA"/>
              </w:rPr>
              <w:t>12</w:t>
            </w:r>
            <w:r w:rsidR="00411FEA" w:rsidRPr="00D5475F">
              <w:rPr>
                <w:rFonts w:ascii="Times New Roman" w:hAnsi="Times New Roman" w:cs="Times New Roman"/>
                <w:lang w:eastAsia="uk-UA"/>
              </w:rPr>
              <w:t xml:space="preserve">.1. </w:t>
            </w:r>
            <w:r w:rsidR="00A217E2" w:rsidRPr="00D5475F">
              <w:rPr>
                <w:rFonts w:ascii="Times New Roman" w:hAnsi="Times New Roman" w:cs="Times New Roman"/>
                <w:lang w:eastAsia="uk-UA"/>
              </w:rPr>
              <w:t>Відсутнє</w:t>
            </w:r>
            <w:r w:rsidR="00411FEA" w:rsidRPr="00D5475F">
              <w:rPr>
                <w:rFonts w:ascii="Times New Roman" w:hAnsi="Times New Roman" w:cs="Times New Roman"/>
                <w:lang w:eastAsia="uk-UA"/>
              </w:rPr>
              <w:t>.</w:t>
            </w:r>
          </w:p>
        </w:tc>
      </w:tr>
      <w:tr w:rsidR="004A6EDA" w:rsidRPr="00D5475F" w14:paraId="5D1393AB" w14:textId="77777777" w:rsidTr="00901A27">
        <w:tc>
          <w:tcPr>
            <w:tcW w:w="3195"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01716325" w14:textId="77777777" w:rsidR="00A217E2" w:rsidRPr="00D5475F" w:rsidRDefault="003D5A11" w:rsidP="00E44DFB">
            <w:pPr>
              <w:pStyle w:val="a3"/>
              <w:rPr>
                <w:rFonts w:ascii="Times New Roman" w:hAnsi="Times New Roman" w:cs="Times New Roman"/>
                <w:lang w:eastAsia="uk-UA"/>
              </w:rPr>
            </w:pPr>
            <w:r w:rsidRPr="00D5475F">
              <w:rPr>
                <w:rFonts w:ascii="Times New Roman" w:hAnsi="Times New Roman" w:cs="Times New Roman"/>
                <w:lang w:eastAsia="uk-UA"/>
              </w:rPr>
              <w:t>13.</w:t>
            </w:r>
            <w:r w:rsidR="00A217E2" w:rsidRPr="00D5475F">
              <w:rPr>
                <w:rFonts w:ascii="Times New Roman" w:hAnsi="Times New Roman" w:cs="Times New Roman"/>
                <w:lang w:eastAsia="uk-UA"/>
              </w:rPr>
              <w:t>Постачання захищеним споживачам</w:t>
            </w:r>
          </w:p>
        </w:tc>
        <w:tc>
          <w:tcPr>
            <w:tcW w:w="7029"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75F542E0" w14:textId="77777777" w:rsidR="00A217E2" w:rsidRPr="00D5475F" w:rsidRDefault="00411FEA" w:rsidP="00E44DFB">
            <w:pPr>
              <w:pStyle w:val="a3"/>
              <w:rPr>
                <w:rFonts w:ascii="Times New Roman" w:hAnsi="Times New Roman" w:cs="Times New Roman"/>
                <w:lang w:eastAsia="uk-UA"/>
              </w:rPr>
            </w:pPr>
            <w:r w:rsidRPr="00D5475F">
              <w:rPr>
                <w:rFonts w:ascii="Times New Roman" w:hAnsi="Times New Roman" w:cs="Times New Roman"/>
                <w:lang w:eastAsia="uk-UA"/>
              </w:rPr>
              <w:t xml:space="preserve">13.1. </w:t>
            </w:r>
            <w:r w:rsidR="00A217E2" w:rsidRPr="00D5475F">
              <w:rPr>
                <w:rFonts w:ascii="Times New Roman" w:hAnsi="Times New Roman" w:cs="Times New Roman"/>
                <w:lang w:eastAsia="uk-UA"/>
              </w:rPr>
              <w:t>Відсутнє</w:t>
            </w:r>
            <w:r w:rsidRPr="00D5475F">
              <w:rPr>
                <w:rFonts w:ascii="Times New Roman" w:hAnsi="Times New Roman" w:cs="Times New Roman"/>
                <w:lang w:eastAsia="uk-UA"/>
              </w:rPr>
              <w:t>.</w:t>
            </w:r>
          </w:p>
        </w:tc>
      </w:tr>
      <w:tr w:rsidR="004A6EDA" w:rsidRPr="00D5475F" w14:paraId="6717A039" w14:textId="77777777" w:rsidTr="00901A27">
        <w:tc>
          <w:tcPr>
            <w:tcW w:w="10224" w:type="dxa"/>
            <w:gridSpan w:val="2"/>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5314FC15" w14:textId="10812A2D" w:rsidR="00A217E2" w:rsidRPr="00D5475F" w:rsidRDefault="003568CE" w:rsidP="00B33ECF">
            <w:pPr>
              <w:pStyle w:val="a3"/>
              <w:rPr>
                <w:rFonts w:ascii="Times New Roman" w:hAnsi="Times New Roman" w:cs="Times New Roman"/>
                <w:lang w:eastAsia="uk-UA"/>
              </w:rPr>
            </w:pPr>
            <w:r w:rsidRPr="00D5475F">
              <w:rPr>
                <w:rFonts w:ascii="Times New Roman" w:hAnsi="Times New Roman" w:cs="Times New Roman"/>
                <w:i/>
              </w:rPr>
              <w:t xml:space="preserve">Дана комерційна пропозиція чинна з </w:t>
            </w:r>
            <w:r w:rsidR="005F3B70" w:rsidRPr="00D5475F">
              <w:rPr>
                <w:rFonts w:ascii="Times New Roman" w:hAnsi="Times New Roman" w:cs="Times New Roman"/>
                <w:i/>
              </w:rPr>
              <w:t xml:space="preserve"> </w:t>
            </w:r>
            <w:r w:rsidR="00671A1A" w:rsidRPr="007432FC">
              <w:rPr>
                <w:rFonts w:ascii="Times New Roman" w:hAnsi="Times New Roman" w:cs="Times New Roman"/>
                <w:i/>
              </w:rPr>
              <w:t>01 червня  2024 року  по 30 квітня 2025 року</w:t>
            </w:r>
            <w:r w:rsidR="00671A1A" w:rsidRPr="00D5475F">
              <w:rPr>
                <w:rFonts w:ascii="Times New Roman" w:hAnsi="Times New Roman" w:cs="Times New Roman"/>
                <w:i/>
              </w:rPr>
              <w:t xml:space="preserve"> </w:t>
            </w:r>
            <w:r w:rsidR="005F3B70" w:rsidRPr="00D5475F">
              <w:rPr>
                <w:rFonts w:ascii="Times New Roman" w:hAnsi="Times New Roman" w:cs="Times New Roman"/>
                <w:i/>
              </w:rPr>
              <w:t>включно</w:t>
            </w:r>
            <w:r w:rsidR="007A3D76" w:rsidRPr="00D5475F">
              <w:rPr>
                <w:rFonts w:ascii="Times New Roman" w:hAnsi="Times New Roman" w:cs="Times New Roman"/>
                <w:i/>
              </w:rPr>
              <w:t>.</w:t>
            </w:r>
          </w:p>
        </w:tc>
      </w:tr>
    </w:tbl>
    <w:p w14:paraId="106A8872" w14:textId="77777777" w:rsidR="00E030BB" w:rsidRPr="00AE2566" w:rsidRDefault="00E030BB" w:rsidP="00E44DFB">
      <w:pPr>
        <w:pStyle w:val="a3"/>
        <w:rPr>
          <w:rFonts w:ascii="Times New Roman" w:hAnsi="Times New Roman" w:cs="Times New Roman"/>
          <w:sz w:val="20"/>
          <w:szCs w:val="20"/>
        </w:rPr>
      </w:pPr>
    </w:p>
    <w:p w14:paraId="620139CE" w14:textId="77777777" w:rsidR="00DE5B30" w:rsidRPr="00AE2566" w:rsidRDefault="00DE5B30" w:rsidP="00DE5B30">
      <w:pPr>
        <w:spacing w:after="0"/>
        <w:rPr>
          <w:rFonts w:ascii="Times New Roman" w:hAnsi="Times New Roman" w:cs="Times New Roman"/>
          <w:i/>
          <w:u w:val="single"/>
        </w:rPr>
      </w:pPr>
      <w:r w:rsidRPr="00AE2566">
        <w:rPr>
          <w:rFonts w:ascii="Times New Roman" w:hAnsi="Times New Roman" w:cs="Times New Roman"/>
          <w:i/>
        </w:rPr>
        <w:t>________________          ________________          ________________</w:t>
      </w:r>
      <w:r w:rsidRPr="00AE2566">
        <w:rPr>
          <w:rFonts w:ascii="Times New Roman" w:hAnsi="Times New Roman" w:cs="Times New Roman"/>
          <w:i/>
          <w:lang w:val="ru-RU"/>
        </w:rPr>
        <w:t>_                         _____________</w:t>
      </w:r>
      <w:r w:rsidRPr="00AE2566">
        <w:rPr>
          <w:rFonts w:ascii="Times New Roman" w:hAnsi="Times New Roman" w:cs="Times New Roman"/>
          <w:i/>
          <w:u w:val="single"/>
        </w:rPr>
        <w:t xml:space="preserve"> </w:t>
      </w:r>
    </w:p>
    <w:p w14:paraId="64137D1C" w14:textId="77777777" w:rsidR="00DE5B30" w:rsidRPr="00DE5B30" w:rsidRDefault="00DE5B30" w:rsidP="00DE5B30">
      <w:pPr>
        <w:spacing w:after="0"/>
        <w:rPr>
          <w:rFonts w:ascii="Times New Roman" w:hAnsi="Times New Roman" w:cs="Times New Roman"/>
          <w:i/>
        </w:rPr>
      </w:pPr>
      <w:r w:rsidRPr="00AE2566">
        <w:rPr>
          <w:rFonts w:ascii="Times New Roman" w:hAnsi="Times New Roman" w:cs="Times New Roman"/>
          <w:i/>
        </w:rPr>
        <w:t xml:space="preserve">   Назва Споживача                  Посада         </w:t>
      </w:r>
      <w:r w:rsidRPr="00AE2566">
        <w:rPr>
          <w:rFonts w:ascii="Times New Roman" w:hAnsi="Times New Roman" w:cs="Times New Roman"/>
          <w:i/>
          <w:lang w:val="ru-RU"/>
        </w:rPr>
        <w:t xml:space="preserve">         </w:t>
      </w:r>
      <w:r w:rsidRPr="00AE2566">
        <w:rPr>
          <w:rFonts w:ascii="Times New Roman" w:hAnsi="Times New Roman" w:cs="Times New Roman"/>
          <w:i/>
        </w:rPr>
        <w:t xml:space="preserve"> Підпис Споживача                            Дата</w:t>
      </w:r>
      <w:r w:rsidRPr="00DE5B30">
        <w:rPr>
          <w:rFonts w:ascii="Times New Roman" w:hAnsi="Times New Roman" w:cs="Times New Roman"/>
          <w:i/>
        </w:rPr>
        <w:t xml:space="preserve"> </w:t>
      </w:r>
    </w:p>
    <w:p w14:paraId="5AB37CE1" w14:textId="77777777" w:rsidR="00DE5B30" w:rsidRPr="00EA3679" w:rsidRDefault="00DE5B30" w:rsidP="00E44DFB">
      <w:pPr>
        <w:pStyle w:val="a3"/>
        <w:rPr>
          <w:rFonts w:ascii="Times New Roman" w:hAnsi="Times New Roman" w:cs="Times New Roman"/>
          <w:sz w:val="20"/>
          <w:szCs w:val="20"/>
        </w:rPr>
      </w:pPr>
    </w:p>
    <w:sectPr w:rsidR="00DE5B30" w:rsidRPr="00EA3679" w:rsidSect="00EA3679">
      <w:pgSz w:w="11906" w:h="16838"/>
      <w:pgMar w:top="426"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ntiqua">
    <w:altName w:val="Courier New"/>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60B10"/>
    <w:multiLevelType w:val="multilevel"/>
    <w:tmpl w:val="2160A8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F91181"/>
    <w:multiLevelType w:val="multilevel"/>
    <w:tmpl w:val="50368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732E8C"/>
    <w:multiLevelType w:val="multilevel"/>
    <w:tmpl w:val="C96A760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F056FB"/>
    <w:multiLevelType w:val="multilevel"/>
    <w:tmpl w:val="506A644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574ECF"/>
    <w:multiLevelType w:val="multilevel"/>
    <w:tmpl w:val="5D9EF6D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8C5892"/>
    <w:multiLevelType w:val="multilevel"/>
    <w:tmpl w:val="585C44B0"/>
    <w:lvl w:ilvl="0">
      <w:start w:val="1"/>
      <w:numFmt w:val="decimal"/>
      <w:lvlText w:val="%1"/>
      <w:lvlJc w:val="left"/>
      <w:pPr>
        <w:ind w:left="375" w:hanging="375"/>
      </w:pPr>
      <w:rPr>
        <w:rFonts w:cstheme="minorBidi" w:hint="default"/>
        <w:color w:val="auto"/>
        <w:sz w:val="28"/>
      </w:rPr>
    </w:lvl>
    <w:lvl w:ilvl="1">
      <w:start w:val="2"/>
      <w:numFmt w:val="decimal"/>
      <w:lvlText w:val="%1.%2"/>
      <w:lvlJc w:val="left"/>
      <w:pPr>
        <w:ind w:left="445" w:hanging="375"/>
      </w:pPr>
      <w:rPr>
        <w:rFonts w:cstheme="minorBidi" w:hint="default"/>
        <w:color w:val="auto"/>
        <w:sz w:val="28"/>
      </w:rPr>
    </w:lvl>
    <w:lvl w:ilvl="2">
      <w:start w:val="1"/>
      <w:numFmt w:val="decimal"/>
      <w:lvlText w:val="%1.%2.%3"/>
      <w:lvlJc w:val="left"/>
      <w:pPr>
        <w:ind w:left="860" w:hanging="720"/>
      </w:pPr>
      <w:rPr>
        <w:rFonts w:cstheme="minorBidi" w:hint="default"/>
        <w:color w:val="auto"/>
        <w:sz w:val="28"/>
      </w:rPr>
    </w:lvl>
    <w:lvl w:ilvl="3">
      <w:start w:val="1"/>
      <w:numFmt w:val="decimal"/>
      <w:lvlText w:val="%1.%2.%3.%4"/>
      <w:lvlJc w:val="left"/>
      <w:pPr>
        <w:ind w:left="930" w:hanging="720"/>
      </w:pPr>
      <w:rPr>
        <w:rFonts w:cstheme="minorBidi" w:hint="default"/>
        <w:color w:val="auto"/>
        <w:sz w:val="28"/>
      </w:rPr>
    </w:lvl>
    <w:lvl w:ilvl="4">
      <w:start w:val="1"/>
      <w:numFmt w:val="decimal"/>
      <w:lvlText w:val="%1.%2.%3.%4.%5"/>
      <w:lvlJc w:val="left"/>
      <w:pPr>
        <w:ind w:left="1360" w:hanging="1080"/>
      </w:pPr>
      <w:rPr>
        <w:rFonts w:cstheme="minorBidi" w:hint="default"/>
        <w:color w:val="auto"/>
        <w:sz w:val="28"/>
      </w:rPr>
    </w:lvl>
    <w:lvl w:ilvl="5">
      <w:start w:val="1"/>
      <w:numFmt w:val="decimal"/>
      <w:lvlText w:val="%1.%2.%3.%4.%5.%6"/>
      <w:lvlJc w:val="left"/>
      <w:pPr>
        <w:ind w:left="1430" w:hanging="1080"/>
      </w:pPr>
      <w:rPr>
        <w:rFonts w:cstheme="minorBidi" w:hint="default"/>
        <w:color w:val="auto"/>
        <w:sz w:val="28"/>
      </w:rPr>
    </w:lvl>
    <w:lvl w:ilvl="6">
      <w:start w:val="1"/>
      <w:numFmt w:val="decimal"/>
      <w:lvlText w:val="%1.%2.%3.%4.%5.%6.%7"/>
      <w:lvlJc w:val="left"/>
      <w:pPr>
        <w:ind w:left="1860" w:hanging="1440"/>
      </w:pPr>
      <w:rPr>
        <w:rFonts w:cstheme="minorBidi" w:hint="default"/>
        <w:color w:val="auto"/>
        <w:sz w:val="28"/>
      </w:rPr>
    </w:lvl>
    <w:lvl w:ilvl="7">
      <w:start w:val="1"/>
      <w:numFmt w:val="decimal"/>
      <w:lvlText w:val="%1.%2.%3.%4.%5.%6.%7.%8"/>
      <w:lvlJc w:val="left"/>
      <w:pPr>
        <w:ind w:left="1930" w:hanging="1440"/>
      </w:pPr>
      <w:rPr>
        <w:rFonts w:cstheme="minorBidi" w:hint="default"/>
        <w:color w:val="auto"/>
        <w:sz w:val="28"/>
      </w:rPr>
    </w:lvl>
    <w:lvl w:ilvl="8">
      <w:start w:val="1"/>
      <w:numFmt w:val="decimal"/>
      <w:lvlText w:val="%1.%2.%3.%4.%5.%6.%7.%8.%9"/>
      <w:lvlJc w:val="left"/>
      <w:pPr>
        <w:ind w:left="2360" w:hanging="1800"/>
      </w:pPr>
      <w:rPr>
        <w:rFonts w:cstheme="minorBidi" w:hint="default"/>
        <w:color w:val="auto"/>
        <w:sz w:val="28"/>
      </w:rPr>
    </w:lvl>
  </w:abstractNum>
  <w:abstractNum w:abstractNumId="6" w15:restartNumberingAfterBreak="0">
    <w:nsid w:val="3B281C67"/>
    <w:multiLevelType w:val="multilevel"/>
    <w:tmpl w:val="7F6CE1D2"/>
    <w:lvl w:ilvl="0">
      <w:start w:val="1"/>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2A563BF"/>
    <w:multiLevelType w:val="multilevel"/>
    <w:tmpl w:val="E5EC3D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C06B24"/>
    <w:multiLevelType w:val="multilevel"/>
    <w:tmpl w:val="48F66B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23790F"/>
    <w:multiLevelType w:val="multilevel"/>
    <w:tmpl w:val="110C736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AE3ED4"/>
    <w:multiLevelType w:val="multilevel"/>
    <w:tmpl w:val="26C838B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2B3BC2"/>
    <w:multiLevelType w:val="multilevel"/>
    <w:tmpl w:val="9BE07A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705AD0"/>
    <w:multiLevelType w:val="multilevel"/>
    <w:tmpl w:val="36581E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CB72C3"/>
    <w:multiLevelType w:val="multilevel"/>
    <w:tmpl w:val="D780F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543BEA"/>
    <w:multiLevelType w:val="multilevel"/>
    <w:tmpl w:val="84B6B9D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0B50B8"/>
    <w:multiLevelType w:val="multilevel"/>
    <w:tmpl w:val="D256CEE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4873670">
    <w:abstractNumId w:val="13"/>
  </w:num>
  <w:num w:numId="2" w16cid:durableId="97875167">
    <w:abstractNumId w:val="11"/>
  </w:num>
  <w:num w:numId="3" w16cid:durableId="1589580386">
    <w:abstractNumId w:val="12"/>
  </w:num>
  <w:num w:numId="4" w16cid:durableId="1940869483">
    <w:abstractNumId w:val="8"/>
  </w:num>
  <w:num w:numId="5" w16cid:durableId="1168984263">
    <w:abstractNumId w:val="0"/>
  </w:num>
  <w:num w:numId="6" w16cid:durableId="1105807134">
    <w:abstractNumId w:val="7"/>
  </w:num>
  <w:num w:numId="7" w16cid:durableId="657615755">
    <w:abstractNumId w:val="1"/>
  </w:num>
  <w:num w:numId="8" w16cid:durableId="1372920722">
    <w:abstractNumId w:val="3"/>
  </w:num>
  <w:num w:numId="9" w16cid:durableId="94175797">
    <w:abstractNumId w:val="9"/>
  </w:num>
  <w:num w:numId="10" w16cid:durableId="992754353">
    <w:abstractNumId w:val="14"/>
  </w:num>
  <w:num w:numId="11" w16cid:durableId="653802638">
    <w:abstractNumId w:val="4"/>
  </w:num>
  <w:num w:numId="12" w16cid:durableId="290940303">
    <w:abstractNumId w:val="10"/>
  </w:num>
  <w:num w:numId="13" w16cid:durableId="974216753">
    <w:abstractNumId w:val="15"/>
  </w:num>
  <w:num w:numId="14" w16cid:durableId="389309800">
    <w:abstractNumId w:val="2"/>
  </w:num>
  <w:num w:numId="15" w16cid:durableId="727605847">
    <w:abstractNumId w:val="6"/>
  </w:num>
  <w:num w:numId="16" w16cid:durableId="19657664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622"/>
    <w:rsid w:val="000A48BB"/>
    <w:rsid w:val="0014680F"/>
    <w:rsid w:val="00187EDB"/>
    <w:rsid w:val="001D3AE7"/>
    <w:rsid w:val="001F0A36"/>
    <w:rsid w:val="00225A29"/>
    <w:rsid w:val="00225A94"/>
    <w:rsid w:val="00240CE9"/>
    <w:rsid w:val="00265334"/>
    <w:rsid w:val="00271671"/>
    <w:rsid w:val="002B2FEE"/>
    <w:rsid w:val="002C32F4"/>
    <w:rsid w:val="002D5500"/>
    <w:rsid w:val="0032625C"/>
    <w:rsid w:val="00341718"/>
    <w:rsid w:val="003568CE"/>
    <w:rsid w:val="00365622"/>
    <w:rsid w:val="00393DF4"/>
    <w:rsid w:val="003A4A33"/>
    <w:rsid w:val="003C0CD1"/>
    <w:rsid w:val="003C25B8"/>
    <w:rsid w:val="003C2C23"/>
    <w:rsid w:val="003D23EE"/>
    <w:rsid w:val="003D5A11"/>
    <w:rsid w:val="00411FEA"/>
    <w:rsid w:val="00421399"/>
    <w:rsid w:val="0047468C"/>
    <w:rsid w:val="0048679B"/>
    <w:rsid w:val="004A04EA"/>
    <w:rsid w:val="004A6EDA"/>
    <w:rsid w:val="004D7851"/>
    <w:rsid w:val="00523F72"/>
    <w:rsid w:val="0053444A"/>
    <w:rsid w:val="005544A2"/>
    <w:rsid w:val="005F3B70"/>
    <w:rsid w:val="006069D2"/>
    <w:rsid w:val="00641D95"/>
    <w:rsid w:val="00655F0F"/>
    <w:rsid w:val="006676F9"/>
    <w:rsid w:val="00671A1A"/>
    <w:rsid w:val="006F1BB7"/>
    <w:rsid w:val="00731FA5"/>
    <w:rsid w:val="007A3D76"/>
    <w:rsid w:val="007D0826"/>
    <w:rsid w:val="007E4418"/>
    <w:rsid w:val="008648D4"/>
    <w:rsid w:val="00892E78"/>
    <w:rsid w:val="008E3084"/>
    <w:rsid w:val="008E4C6B"/>
    <w:rsid w:val="00901A27"/>
    <w:rsid w:val="009C7677"/>
    <w:rsid w:val="009E6F0F"/>
    <w:rsid w:val="009F1900"/>
    <w:rsid w:val="00A217E2"/>
    <w:rsid w:val="00A23ADC"/>
    <w:rsid w:val="00AE2566"/>
    <w:rsid w:val="00B1387F"/>
    <w:rsid w:val="00B33ECF"/>
    <w:rsid w:val="00B52D96"/>
    <w:rsid w:val="00B6266E"/>
    <w:rsid w:val="00B80C6D"/>
    <w:rsid w:val="00BA69CA"/>
    <w:rsid w:val="00C41270"/>
    <w:rsid w:val="00C56AA3"/>
    <w:rsid w:val="00C9390C"/>
    <w:rsid w:val="00CA22FC"/>
    <w:rsid w:val="00CB00EB"/>
    <w:rsid w:val="00CB30A8"/>
    <w:rsid w:val="00CC03BE"/>
    <w:rsid w:val="00CF4549"/>
    <w:rsid w:val="00D5475F"/>
    <w:rsid w:val="00D629E5"/>
    <w:rsid w:val="00DE5B30"/>
    <w:rsid w:val="00E022F3"/>
    <w:rsid w:val="00E030BB"/>
    <w:rsid w:val="00E44DFB"/>
    <w:rsid w:val="00E61735"/>
    <w:rsid w:val="00E634CE"/>
    <w:rsid w:val="00EA3679"/>
    <w:rsid w:val="00F26908"/>
    <w:rsid w:val="00F341D2"/>
    <w:rsid w:val="00F360CF"/>
    <w:rsid w:val="00F454AB"/>
    <w:rsid w:val="00F84915"/>
    <w:rsid w:val="00FA44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EC1F3"/>
  <w15:docId w15:val="{8C7EFAA6-9DAB-4119-A1CD-738292167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4DFB"/>
    <w:pPr>
      <w:spacing w:after="0" w:line="240" w:lineRule="auto"/>
    </w:pPr>
  </w:style>
  <w:style w:type="paragraph" w:customStyle="1" w:styleId="a4">
    <w:name w:val="Нормальний текст"/>
    <w:basedOn w:val="a"/>
    <w:rsid w:val="002D5500"/>
    <w:pPr>
      <w:spacing w:before="120" w:after="0" w:line="240" w:lineRule="auto"/>
      <w:ind w:firstLine="567"/>
    </w:pPr>
    <w:rPr>
      <w:rFonts w:ascii="Antiqua" w:eastAsia="Times New Roman" w:hAnsi="Antiqua" w:cs="Times New Roman"/>
      <w:sz w:val="26"/>
      <w:szCs w:val="20"/>
      <w:lang w:eastAsia="ru-RU"/>
    </w:rPr>
  </w:style>
  <w:style w:type="character" w:styleId="a5">
    <w:name w:val="annotation reference"/>
    <w:basedOn w:val="a0"/>
    <w:uiPriority w:val="99"/>
    <w:semiHidden/>
    <w:unhideWhenUsed/>
    <w:rsid w:val="00901A27"/>
    <w:rPr>
      <w:sz w:val="16"/>
      <w:szCs w:val="16"/>
    </w:rPr>
  </w:style>
  <w:style w:type="paragraph" w:styleId="a6">
    <w:name w:val="annotation text"/>
    <w:basedOn w:val="a"/>
    <w:link w:val="a7"/>
    <w:uiPriority w:val="99"/>
    <w:semiHidden/>
    <w:unhideWhenUsed/>
    <w:rsid w:val="00901A27"/>
    <w:pPr>
      <w:spacing w:line="240" w:lineRule="auto"/>
    </w:pPr>
    <w:rPr>
      <w:sz w:val="20"/>
      <w:szCs w:val="20"/>
    </w:rPr>
  </w:style>
  <w:style w:type="character" w:customStyle="1" w:styleId="a7">
    <w:name w:val="Текст примітки Знак"/>
    <w:basedOn w:val="a0"/>
    <w:link w:val="a6"/>
    <w:uiPriority w:val="99"/>
    <w:semiHidden/>
    <w:rsid w:val="00901A27"/>
    <w:rPr>
      <w:sz w:val="20"/>
      <w:szCs w:val="20"/>
    </w:rPr>
  </w:style>
  <w:style w:type="character" w:customStyle="1" w:styleId="st42">
    <w:name w:val="st42"/>
    <w:uiPriority w:val="99"/>
    <w:rsid w:val="00901A27"/>
    <w:rPr>
      <w:color w:val="000000"/>
    </w:rPr>
  </w:style>
  <w:style w:type="paragraph" w:styleId="a8">
    <w:name w:val="Balloon Text"/>
    <w:basedOn w:val="a"/>
    <w:link w:val="a9"/>
    <w:uiPriority w:val="99"/>
    <w:semiHidden/>
    <w:unhideWhenUsed/>
    <w:rsid w:val="00901A27"/>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901A27"/>
    <w:rPr>
      <w:rFonts w:ascii="Segoe UI" w:hAnsi="Segoe UI" w:cs="Segoe UI"/>
      <w:sz w:val="18"/>
      <w:szCs w:val="18"/>
    </w:rPr>
  </w:style>
  <w:style w:type="table" w:styleId="aa">
    <w:name w:val="Table Grid"/>
    <w:basedOn w:val="a1"/>
    <w:uiPriority w:val="39"/>
    <w:rsid w:val="00892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92E78"/>
    <w:pPr>
      <w:spacing w:after="0" w:line="240" w:lineRule="auto"/>
      <w:ind w:left="720"/>
      <w:contextualSpacing/>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84116">
      <w:bodyDiv w:val="1"/>
      <w:marLeft w:val="0"/>
      <w:marRight w:val="0"/>
      <w:marTop w:val="0"/>
      <w:marBottom w:val="0"/>
      <w:divBdr>
        <w:top w:val="none" w:sz="0" w:space="0" w:color="auto"/>
        <w:left w:val="none" w:sz="0" w:space="0" w:color="auto"/>
        <w:bottom w:val="none" w:sz="0" w:space="0" w:color="auto"/>
        <w:right w:val="none" w:sz="0" w:space="0" w:color="auto"/>
      </w:divBdr>
      <w:divsChild>
        <w:div w:id="1210341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7321</Words>
  <Characters>4173</Characters>
  <Application>Microsoft Office Word</Application>
  <DocSecurity>0</DocSecurity>
  <Lines>34</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Гринів Марія Романівна</dc:creator>
  <cp:keywords/>
  <dc:description/>
  <cp:lastModifiedBy>Оксана Ладан</cp:lastModifiedBy>
  <cp:revision>6</cp:revision>
  <dcterms:created xsi:type="dcterms:W3CDTF">2024-04-30T06:08:00Z</dcterms:created>
  <dcterms:modified xsi:type="dcterms:W3CDTF">2024-06-03T06:36:00Z</dcterms:modified>
</cp:coreProperties>
</file>