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35663" w14:textId="77777777" w:rsidR="00BC561E" w:rsidRPr="00CC1ADD" w:rsidRDefault="008B205A" w:rsidP="00BC561E">
      <w:pPr>
        <w:tabs>
          <w:tab w:val="center" w:pos="4677"/>
          <w:tab w:val="right" w:pos="9355"/>
        </w:tabs>
        <w:spacing w:after="0" w:line="240" w:lineRule="auto"/>
        <w:ind w:left="6663"/>
        <w:jc w:val="right"/>
        <w:rPr>
          <w:rFonts w:ascii="Times New Roman" w:eastAsia="Calibri" w:hAnsi="Times New Roman" w:cs="Times New Roman"/>
          <w:b/>
          <w:sz w:val="20"/>
          <w:szCs w:val="20"/>
          <w:lang w:val="ru-RU"/>
        </w:rPr>
      </w:pPr>
      <w:r w:rsidRPr="00F47BC8">
        <w:rPr>
          <w:rFonts w:ascii="Times New Roman" w:eastAsia="Times New Roman" w:hAnsi="Times New Roman" w:cs="Times New Roman"/>
          <w:b/>
          <w:bCs/>
          <w:color w:val="000000" w:themeColor="text1"/>
          <w:sz w:val="21"/>
          <w:szCs w:val="21"/>
          <w:lang w:eastAsia="uk-UA"/>
        </w:rPr>
        <w:t xml:space="preserve">                               </w:t>
      </w:r>
      <w:r w:rsidR="00BC561E" w:rsidRPr="00CC1ADD">
        <w:rPr>
          <w:b/>
        </w:rPr>
        <w:t>ОП 2-Г</w:t>
      </w:r>
    </w:p>
    <w:p w14:paraId="297D994F" w14:textId="0C5A29AE" w:rsidR="008B205A" w:rsidRPr="00CC1ADD" w:rsidRDefault="00BC561E" w:rsidP="00BC561E">
      <w:pPr>
        <w:tabs>
          <w:tab w:val="center" w:pos="4677"/>
          <w:tab w:val="right" w:pos="9355"/>
        </w:tabs>
        <w:spacing w:after="0" w:line="240" w:lineRule="auto"/>
        <w:ind w:left="6663"/>
        <w:rPr>
          <w:rFonts w:ascii="Times New Roman" w:eastAsia="Times New Roman" w:hAnsi="Times New Roman" w:cs="Times New Roman"/>
          <w:color w:val="000000" w:themeColor="text1"/>
          <w:sz w:val="21"/>
          <w:szCs w:val="21"/>
          <w:lang w:eastAsia="uk-UA"/>
        </w:rPr>
      </w:pPr>
      <w:proofErr w:type="spellStart"/>
      <w:r w:rsidRPr="00CC1ADD">
        <w:rPr>
          <w:rFonts w:ascii="Times New Roman" w:eastAsia="Calibri" w:hAnsi="Times New Roman" w:cs="Times New Roman"/>
          <w:b/>
          <w:sz w:val="20"/>
          <w:szCs w:val="20"/>
          <w:lang w:val="ru-RU"/>
        </w:rPr>
        <w:t>Додаток</w:t>
      </w:r>
      <w:proofErr w:type="spellEnd"/>
      <w:r w:rsidRPr="00CC1ADD">
        <w:rPr>
          <w:rFonts w:ascii="Times New Roman" w:eastAsia="Calibri" w:hAnsi="Times New Roman" w:cs="Times New Roman"/>
          <w:b/>
          <w:sz w:val="20"/>
          <w:szCs w:val="20"/>
          <w:lang w:val="ru-RU"/>
        </w:rPr>
        <w:t xml:space="preserve"> №</w:t>
      </w:r>
      <w:r w:rsidRPr="00CC1ADD">
        <w:rPr>
          <w:rFonts w:ascii="Times New Roman" w:eastAsia="Calibri" w:hAnsi="Times New Roman" w:cs="Times New Roman"/>
          <w:b/>
          <w:sz w:val="20"/>
          <w:szCs w:val="20"/>
        </w:rPr>
        <w:t xml:space="preserve">3 </w:t>
      </w:r>
      <w:r w:rsidRPr="00CC1ADD">
        <w:rPr>
          <w:rFonts w:ascii="Times New Roman" w:eastAsia="Calibri" w:hAnsi="Times New Roman" w:cs="Times New Roman"/>
          <w:sz w:val="20"/>
          <w:szCs w:val="20"/>
          <w:lang w:val="ru-RU"/>
        </w:rPr>
        <w:t xml:space="preserve">до Договору про </w:t>
      </w:r>
      <w:proofErr w:type="spellStart"/>
      <w:r w:rsidRPr="00CC1ADD">
        <w:rPr>
          <w:rFonts w:ascii="Times New Roman" w:eastAsia="Calibri" w:hAnsi="Times New Roman" w:cs="Times New Roman"/>
          <w:sz w:val="20"/>
          <w:szCs w:val="20"/>
          <w:lang w:val="ru-RU"/>
        </w:rPr>
        <w:t>постачання</w:t>
      </w:r>
      <w:proofErr w:type="spellEnd"/>
      <w:r w:rsidRPr="00CC1ADD">
        <w:rPr>
          <w:rFonts w:ascii="Times New Roman" w:eastAsia="Calibri" w:hAnsi="Times New Roman" w:cs="Times New Roman"/>
          <w:sz w:val="20"/>
          <w:szCs w:val="20"/>
          <w:lang w:val="ru-RU"/>
        </w:rPr>
        <w:t xml:space="preserve"> </w:t>
      </w:r>
      <w:proofErr w:type="spellStart"/>
      <w:r w:rsidRPr="00CC1ADD">
        <w:rPr>
          <w:rFonts w:ascii="Times New Roman" w:eastAsia="Calibri" w:hAnsi="Times New Roman" w:cs="Times New Roman"/>
          <w:sz w:val="20"/>
          <w:szCs w:val="20"/>
          <w:lang w:val="ru-RU"/>
        </w:rPr>
        <w:t>електричної</w:t>
      </w:r>
      <w:proofErr w:type="spellEnd"/>
      <w:r w:rsidRPr="00CC1ADD">
        <w:rPr>
          <w:rFonts w:ascii="Times New Roman" w:eastAsia="Calibri" w:hAnsi="Times New Roman" w:cs="Times New Roman"/>
          <w:sz w:val="20"/>
          <w:szCs w:val="20"/>
          <w:lang w:val="ru-RU"/>
        </w:rPr>
        <w:t xml:space="preserve"> </w:t>
      </w:r>
      <w:proofErr w:type="spellStart"/>
      <w:r w:rsidRPr="00CC1ADD">
        <w:rPr>
          <w:rFonts w:ascii="Times New Roman" w:eastAsia="Calibri" w:hAnsi="Times New Roman" w:cs="Times New Roman"/>
          <w:sz w:val="20"/>
          <w:szCs w:val="20"/>
          <w:lang w:val="ru-RU"/>
        </w:rPr>
        <w:t>енергії</w:t>
      </w:r>
      <w:proofErr w:type="spellEnd"/>
      <w:r w:rsidRPr="00CC1ADD">
        <w:rPr>
          <w:rFonts w:ascii="Times New Roman" w:eastAsia="Calibri" w:hAnsi="Times New Roman" w:cs="Times New Roman"/>
          <w:sz w:val="20"/>
          <w:szCs w:val="20"/>
          <w:lang w:val="ru-RU"/>
        </w:rPr>
        <w:t xml:space="preserve"> </w:t>
      </w:r>
      <w:proofErr w:type="spellStart"/>
      <w:r w:rsidRPr="00CC1ADD">
        <w:rPr>
          <w:rFonts w:ascii="Times New Roman" w:eastAsia="Calibri" w:hAnsi="Times New Roman" w:cs="Times New Roman"/>
          <w:sz w:val="20"/>
          <w:szCs w:val="20"/>
          <w:lang w:val="ru-RU"/>
        </w:rPr>
        <w:t>постачальником</w:t>
      </w:r>
      <w:proofErr w:type="spellEnd"/>
      <w:r w:rsidRPr="00CC1ADD">
        <w:rPr>
          <w:rFonts w:ascii="Times New Roman" w:eastAsia="Calibri" w:hAnsi="Times New Roman" w:cs="Times New Roman"/>
          <w:sz w:val="20"/>
          <w:szCs w:val="20"/>
          <w:lang w:val="ru-RU"/>
        </w:rPr>
        <w:t xml:space="preserve"> </w:t>
      </w:r>
      <w:proofErr w:type="spellStart"/>
      <w:r w:rsidRPr="00CC1ADD">
        <w:rPr>
          <w:rFonts w:ascii="Times New Roman" w:eastAsia="Calibri" w:hAnsi="Times New Roman" w:cs="Times New Roman"/>
          <w:sz w:val="20"/>
          <w:szCs w:val="20"/>
          <w:lang w:val="ru-RU"/>
        </w:rPr>
        <w:t>універсальних</w:t>
      </w:r>
      <w:proofErr w:type="spellEnd"/>
      <w:r w:rsidRPr="00CC1ADD">
        <w:rPr>
          <w:rFonts w:ascii="Times New Roman" w:eastAsia="Calibri" w:hAnsi="Times New Roman" w:cs="Times New Roman"/>
          <w:sz w:val="20"/>
          <w:szCs w:val="20"/>
          <w:lang w:val="ru-RU"/>
        </w:rPr>
        <w:t xml:space="preserve"> </w:t>
      </w:r>
      <w:proofErr w:type="spellStart"/>
      <w:r w:rsidRPr="00CC1ADD">
        <w:rPr>
          <w:rFonts w:ascii="Times New Roman" w:eastAsia="Calibri" w:hAnsi="Times New Roman" w:cs="Times New Roman"/>
          <w:sz w:val="20"/>
          <w:szCs w:val="20"/>
          <w:lang w:val="ru-RU"/>
        </w:rPr>
        <w:t>послуг</w:t>
      </w:r>
      <w:proofErr w:type="spellEnd"/>
      <w:r w:rsidRPr="00CC1ADD">
        <w:rPr>
          <w:rFonts w:ascii="Times New Roman" w:eastAsia="Calibri" w:hAnsi="Times New Roman" w:cs="Times New Roman"/>
          <w:sz w:val="20"/>
          <w:szCs w:val="20"/>
          <w:lang w:val="ru-RU"/>
        </w:rPr>
        <w:t xml:space="preserve"> № </w:t>
      </w:r>
      <w:r w:rsidR="008B205A" w:rsidRPr="00CC1ADD">
        <w:rPr>
          <w:rFonts w:ascii="Times New Roman" w:eastAsia="Times New Roman" w:hAnsi="Times New Roman" w:cs="Times New Roman"/>
          <w:b/>
          <w:bCs/>
          <w:color w:val="000000" w:themeColor="text1"/>
          <w:sz w:val="21"/>
          <w:szCs w:val="21"/>
          <w:lang w:eastAsia="uk-UA"/>
        </w:rPr>
        <w:t xml:space="preserve">                                                                      </w:t>
      </w:r>
    </w:p>
    <w:p w14:paraId="182078D7" w14:textId="3A1E11F5" w:rsidR="002D7A9B" w:rsidRPr="00CC1ADD" w:rsidRDefault="002D7A9B" w:rsidP="002D7A9B">
      <w:pPr>
        <w:spacing w:before="100" w:beforeAutospacing="1" w:after="360" w:line="240" w:lineRule="auto"/>
        <w:outlineLvl w:val="1"/>
        <w:rPr>
          <w:rFonts w:ascii="Times New Roman" w:eastAsia="Times New Roman" w:hAnsi="Times New Roman" w:cs="Times New Roman"/>
          <w:b/>
          <w:bCs/>
          <w:color w:val="000000" w:themeColor="text1"/>
          <w:sz w:val="28"/>
          <w:szCs w:val="28"/>
          <w:lang w:eastAsia="uk-UA"/>
        </w:rPr>
      </w:pPr>
      <w:r w:rsidRPr="00CC1ADD">
        <w:rPr>
          <w:rFonts w:ascii="Times New Roman" w:eastAsia="Times New Roman" w:hAnsi="Times New Roman" w:cs="Times New Roman"/>
          <w:b/>
          <w:bCs/>
          <w:color w:val="000000" w:themeColor="text1"/>
          <w:sz w:val="28"/>
          <w:szCs w:val="28"/>
          <w:lang w:eastAsia="uk-UA"/>
        </w:rPr>
        <w:t>Комерційна пропозиція №4</w:t>
      </w:r>
      <w:r w:rsidR="00C84320" w:rsidRPr="00CC1ADD">
        <w:rPr>
          <w:rFonts w:ascii="Times New Roman" w:eastAsia="Times New Roman" w:hAnsi="Times New Roman" w:cs="Times New Roman"/>
          <w:b/>
          <w:bCs/>
          <w:color w:val="000000" w:themeColor="text1"/>
          <w:sz w:val="28"/>
          <w:szCs w:val="28"/>
          <w:lang w:eastAsia="uk-UA"/>
        </w:rPr>
        <w:t>.1</w:t>
      </w:r>
      <w:r w:rsidRPr="00CC1ADD">
        <w:rPr>
          <w:rFonts w:ascii="Times New Roman" w:eastAsia="Times New Roman" w:hAnsi="Times New Roman" w:cs="Times New Roman"/>
          <w:b/>
          <w:bCs/>
          <w:color w:val="000000" w:themeColor="text1"/>
          <w:sz w:val="28"/>
          <w:szCs w:val="28"/>
          <w:lang w:eastAsia="uk-UA"/>
        </w:rPr>
        <w:t xml:space="preserve"> «Універсальна» для малих непобутових споживачів (попередня оплата) </w:t>
      </w:r>
      <w:r w:rsidR="00EE69F3" w:rsidRPr="00CC1ADD">
        <w:rPr>
          <w:rFonts w:ascii="Times New Roman" w:eastAsia="Times New Roman" w:hAnsi="Times New Roman" w:cs="Times New Roman"/>
          <w:b/>
          <w:bCs/>
          <w:color w:val="000000" w:themeColor="text1"/>
          <w:sz w:val="28"/>
          <w:szCs w:val="28"/>
          <w:lang w:eastAsia="uk-UA"/>
        </w:rPr>
        <w:t xml:space="preserve">для </w:t>
      </w:r>
      <w:proofErr w:type="spellStart"/>
      <w:r w:rsidR="00EE69F3" w:rsidRPr="00CC1ADD">
        <w:rPr>
          <w:rFonts w:ascii="Times New Roman" w:eastAsia="Times New Roman" w:hAnsi="Times New Roman" w:cs="Times New Roman"/>
          <w:b/>
          <w:bCs/>
          <w:color w:val="000000" w:themeColor="text1"/>
          <w:sz w:val="28"/>
          <w:szCs w:val="28"/>
          <w:lang w:eastAsia="uk-UA"/>
        </w:rPr>
        <w:t>безоблікового</w:t>
      </w:r>
      <w:proofErr w:type="spellEnd"/>
      <w:r w:rsidR="00EE69F3" w:rsidRPr="00CC1ADD">
        <w:rPr>
          <w:rFonts w:ascii="Times New Roman" w:eastAsia="Times New Roman" w:hAnsi="Times New Roman" w:cs="Times New Roman"/>
          <w:b/>
          <w:bCs/>
          <w:color w:val="000000" w:themeColor="text1"/>
          <w:sz w:val="28"/>
          <w:szCs w:val="28"/>
          <w:lang w:eastAsia="uk-UA"/>
        </w:rPr>
        <w:t xml:space="preserve"> споживання</w:t>
      </w:r>
      <w:r w:rsidR="003904D2" w:rsidRPr="00CC1ADD">
        <w:rPr>
          <w:rFonts w:ascii="Times New Roman" w:eastAsia="Times New Roman" w:hAnsi="Times New Roman" w:cs="Times New Roman"/>
          <w:b/>
          <w:bCs/>
          <w:color w:val="000000" w:themeColor="text1"/>
          <w:sz w:val="28"/>
          <w:szCs w:val="28"/>
          <w:lang w:eastAsia="uk-UA"/>
        </w:rPr>
        <w:t xml:space="preserve"> на </w:t>
      </w:r>
      <w:r w:rsidR="000E6991" w:rsidRPr="000E6991">
        <w:rPr>
          <w:rFonts w:ascii="Times New Roman" w:eastAsia="Times New Roman" w:hAnsi="Times New Roman" w:cs="Times New Roman"/>
          <w:b/>
          <w:bCs/>
          <w:color w:val="000000" w:themeColor="text1"/>
          <w:sz w:val="28"/>
          <w:szCs w:val="28"/>
          <w:lang w:eastAsia="uk-UA"/>
        </w:rPr>
        <w:t>липень</w:t>
      </w:r>
      <w:r w:rsidR="003F2403" w:rsidRPr="000E6991">
        <w:rPr>
          <w:rFonts w:ascii="Times New Roman" w:eastAsia="Times New Roman" w:hAnsi="Times New Roman" w:cs="Times New Roman"/>
          <w:b/>
          <w:bCs/>
          <w:color w:val="000000" w:themeColor="text1"/>
          <w:sz w:val="28"/>
          <w:szCs w:val="28"/>
          <w:lang w:eastAsia="uk-UA"/>
        </w:rPr>
        <w:t xml:space="preserve"> </w:t>
      </w:r>
      <w:r w:rsidR="008E1E4B" w:rsidRPr="000E6991">
        <w:rPr>
          <w:rFonts w:ascii="Times New Roman" w:eastAsia="Times New Roman" w:hAnsi="Times New Roman" w:cs="Times New Roman"/>
          <w:b/>
          <w:bCs/>
          <w:color w:val="000000" w:themeColor="text1"/>
          <w:sz w:val="28"/>
          <w:szCs w:val="28"/>
          <w:lang w:eastAsia="uk-UA"/>
        </w:rPr>
        <w:t>2024</w:t>
      </w:r>
      <w:r w:rsidR="003904D2" w:rsidRPr="000E6991">
        <w:rPr>
          <w:rFonts w:ascii="Times New Roman" w:eastAsia="Times New Roman" w:hAnsi="Times New Roman" w:cs="Times New Roman"/>
          <w:b/>
          <w:bCs/>
          <w:color w:val="000000" w:themeColor="text1"/>
          <w:sz w:val="28"/>
          <w:szCs w:val="28"/>
          <w:lang w:eastAsia="uk-UA"/>
        </w:rPr>
        <w:t xml:space="preserve"> року</w:t>
      </w:r>
    </w:p>
    <w:p w14:paraId="200795B6"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Комерційна пропозиція ТОВ «ПРИКАРПАТЕНЕРГОТРЕЙД» розроблена відповідно до Закону України «Про ринок електричної енергії» та Правил роздрібного ринку електричної енергії, затверджених Постановою НКРЕКП від 14.03.2018 №312 (зі змінами та доповненнями) (далі – ПРРЕЕ).</w:t>
      </w:r>
    </w:p>
    <w:p w14:paraId="5E071D37"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Критерії, яким має відповідати споживач для можливості обрання цієї комерційної пропозиції:</w:t>
      </w:r>
    </w:p>
    <w:p w14:paraId="51F8A65D"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 споживач є малим непобутовим споживачем, який купує електричну енергію для власного споживання не є побутовим споживачем, електроустановки якого приєднані до електричних мереж з договірною потужністю, яка не перевищує 50 кВт;</w:t>
      </w:r>
    </w:p>
    <w:p w14:paraId="4B132064"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споживач є власником (користувачем) об’єкта;</w:t>
      </w:r>
    </w:p>
    <w:p w14:paraId="06D19EB6" w14:textId="71DA9FBB"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споживач приєднався до умов договору споживача про надання послуг з розподілу електричної енергії.</w:t>
      </w:r>
    </w:p>
    <w:tbl>
      <w:tblPr>
        <w:tblW w:w="9928" w:type="dxa"/>
        <w:tblCellMar>
          <w:left w:w="0" w:type="dxa"/>
          <w:right w:w="0" w:type="dxa"/>
        </w:tblCellMar>
        <w:tblLook w:val="04A0" w:firstRow="1" w:lastRow="0" w:firstColumn="1" w:lastColumn="0" w:noHBand="0" w:noVBand="1"/>
      </w:tblPr>
      <w:tblGrid>
        <w:gridCol w:w="1977"/>
        <w:gridCol w:w="7938"/>
        <w:gridCol w:w="13"/>
      </w:tblGrid>
      <w:tr w:rsidR="00F47BC8" w:rsidRPr="00CC1ADD" w14:paraId="01A6DAF5" w14:textId="77777777" w:rsidTr="00792458">
        <w:trPr>
          <w:gridAfter w:val="1"/>
          <w:wAfter w:w="13" w:type="dxa"/>
          <w:trHeight w:val="798"/>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2C25973" w14:textId="77777777" w:rsidR="002D7A9B" w:rsidRPr="00CC1ADD" w:rsidRDefault="002D7A9B" w:rsidP="002D7A9B">
            <w:pPr>
              <w:numPr>
                <w:ilvl w:val="0"/>
                <w:numId w:val="1"/>
              </w:numPr>
              <w:spacing w:before="100" w:beforeAutospacing="1" w:after="100" w:afterAutospacing="1" w:line="240" w:lineRule="auto"/>
              <w:ind w:left="180"/>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Ціна (тариф) електричної енергії</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4EE667E" w14:textId="36A20EAE"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1.1. Ціна на універсальні послуги для малих непобутових споживачів розраховується відповідно до Порядку формування цін на універсальні послуги, затвердженого постановою НКРЕКП від 5 </w:t>
            </w:r>
            <w:r w:rsidR="008E1E4B" w:rsidRPr="00CC1ADD">
              <w:rPr>
                <w:rFonts w:ascii="Times New Roman" w:eastAsia="Times New Roman" w:hAnsi="Times New Roman" w:cs="Times New Roman"/>
                <w:color w:val="000000" w:themeColor="text1"/>
                <w:sz w:val="21"/>
                <w:szCs w:val="21"/>
                <w:lang w:eastAsia="uk-UA"/>
              </w:rPr>
              <w:t>жовтня</w:t>
            </w:r>
            <w:r w:rsidRPr="00CC1ADD">
              <w:rPr>
                <w:rFonts w:ascii="Times New Roman" w:eastAsia="Times New Roman" w:hAnsi="Times New Roman" w:cs="Times New Roman"/>
                <w:color w:val="000000" w:themeColor="text1"/>
                <w:sz w:val="21"/>
                <w:szCs w:val="21"/>
                <w:lang w:eastAsia="uk-UA"/>
              </w:rPr>
              <w:t xml:space="preserve"> 2018 року № 1177 (зі змінами та доповненнями), за такою формулою:</w:t>
            </w:r>
          </w:p>
          <w:p w14:paraId="28DEE82F"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Ц</w:t>
            </w:r>
            <w:r w:rsidRPr="00CC1ADD">
              <w:rPr>
                <w:rFonts w:ascii="Times New Roman" w:eastAsia="Times New Roman" w:hAnsi="Times New Roman" w:cs="Times New Roman"/>
                <w:i/>
                <w:iCs/>
                <w:color w:val="000000" w:themeColor="text1"/>
                <w:sz w:val="21"/>
                <w:szCs w:val="21"/>
                <w:lang w:eastAsia="uk-UA"/>
              </w:rPr>
              <w:t>УП</w:t>
            </w:r>
            <w:r w:rsidRPr="00CC1ADD">
              <w:rPr>
                <w:rFonts w:ascii="Times New Roman" w:eastAsia="Times New Roman" w:hAnsi="Times New Roman" w:cs="Times New Roman"/>
                <w:color w:val="000000" w:themeColor="text1"/>
                <w:sz w:val="21"/>
                <w:szCs w:val="21"/>
                <w:lang w:eastAsia="uk-UA"/>
              </w:rPr>
              <w:t xml:space="preserve"> = </w:t>
            </w:r>
            <w:proofErr w:type="spellStart"/>
            <w:r w:rsidRPr="00CC1ADD">
              <w:rPr>
                <w:rFonts w:ascii="Times New Roman" w:eastAsia="Times New Roman" w:hAnsi="Times New Roman" w:cs="Times New Roman"/>
                <w:color w:val="000000" w:themeColor="text1"/>
                <w:sz w:val="21"/>
                <w:szCs w:val="21"/>
                <w:lang w:eastAsia="uk-UA"/>
              </w:rPr>
              <w:t>Ц</w:t>
            </w:r>
            <w:r w:rsidRPr="00CC1ADD">
              <w:rPr>
                <w:rFonts w:ascii="Times New Roman" w:eastAsia="Times New Roman" w:hAnsi="Times New Roman" w:cs="Times New Roman"/>
                <w:i/>
                <w:iCs/>
                <w:color w:val="000000" w:themeColor="text1"/>
                <w:sz w:val="21"/>
                <w:szCs w:val="21"/>
                <w:lang w:eastAsia="uk-UA"/>
              </w:rPr>
              <w:t>прогн</w:t>
            </w:r>
            <w:proofErr w:type="spellEnd"/>
            <w:r w:rsidRPr="00CC1ADD">
              <w:rPr>
                <w:rFonts w:ascii="Times New Roman" w:eastAsia="Times New Roman" w:hAnsi="Times New Roman" w:cs="Times New Roman"/>
                <w:i/>
                <w:iCs/>
                <w:color w:val="000000" w:themeColor="text1"/>
                <w:sz w:val="21"/>
                <w:szCs w:val="21"/>
                <w:lang w:eastAsia="uk-UA"/>
              </w:rPr>
              <w:t xml:space="preserve"> ЗЦ </w:t>
            </w:r>
            <w:r w:rsidRPr="00CC1ADD">
              <w:rPr>
                <w:rFonts w:ascii="Times New Roman" w:eastAsia="Times New Roman" w:hAnsi="Times New Roman" w:cs="Times New Roman"/>
                <w:color w:val="000000" w:themeColor="text1"/>
                <w:sz w:val="21"/>
                <w:szCs w:val="21"/>
                <w:lang w:eastAsia="uk-UA"/>
              </w:rPr>
              <w:t xml:space="preserve">+ </w:t>
            </w:r>
            <w:proofErr w:type="spellStart"/>
            <w:r w:rsidRPr="00CC1ADD">
              <w:rPr>
                <w:rFonts w:ascii="Times New Roman" w:eastAsia="Times New Roman" w:hAnsi="Times New Roman" w:cs="Times New Roman"/>
                <w:color w:val="000000" w:themeColor="text1"/>
                <w:sz w:val="21"/>
                <w:szCs w:val="21"/>
                <w:lang w:eastAsia="uk-UA"/>
              </w:rPr>
              <w:t>Т</w:t>
            </w:r>
            <w:r w:rsidRPr="00CC1ADD">
              <w:rPr>
                <w:rFonts w:ascii="Times New Roman" w:eastAsia="Times New Roman" w:hAnsi="Times New Roman" w:cs="Times New Roman"/>
                <w:i/>
                <w:iCs/>
                <w:color w:val="000000" w:themeColor="text1"/>
                <w:sz w:val="21"/>
                <w:szCs w:val="21"/>
                <w:lang w:eastAsia="uk-UA"/>
              </w:rPr>
              <w:t>пер</w:t>
            </w:r>
            <w:proofErr w:type="spellEnd"/>
            <w:r w:rsidRPr="00CC1ADD">
              <w:rPr>
                <w:rFonts w:ascii="Times New Roman" w:eastAsia="Times New Roman" w:hAnsi="Times New Roman" w:cs="Times New Roman"/>
                <w:color w:val="000000" w:themeColor="text1"/>
                <w:sz w:val="21"/>
                <w:szCs w:val="21"/>
                <w:lang w:eastAsia="uk-UA"/>
              </w:rPr>
              <w:t> + Т</w:t>
            </w:r>
            <w:r w:rsidRPr="00CC1ADD">
              <w:rPr>
                <w:rFonts w:ascii="Times New Roman" w:eastAsia="Times New Roman" w:hAnsi="Times New Roman" w:cs="Times New Roman"/>
                <w:i/>
                <w:iCs/>
                <w:color w:val="000000" w:themeColor="text1"/>
                <w:sz w:val="21"/>
                <w:szCs w:val="21"/>
                <w:lang w:eastAsia="uk-UA"/>
              </w:rPr>
              <w:t>Р</w:t>
            </w:r>
            <w:r w:rsidRPr="00CC1ADD">
              <w:rPr>
                <w:rFonts w:ascii="Times New Roman" w:eastAsia="Times New Roman" w:hAnsi="Times New Roman" w:cs="Times New Roman"/>
                <w:color w:val="000000" w:themeColor="text1"/>
                <w:sz w:val="21"/>
                <w:szCs w:val="21"/>
                <w:lang w:eastAsia="uk-UA"/>
              </w:rPr>
              <w:t> + Т</w:t>
            </w:r>
            <w:r w:rsidRPr="00CC1ADD">
              <w:rPr>
                <w:rFonts w:ascii="Times New Roman" w:eastAsia="Times New Roman" w:hAnsi="Times New Roman" w:cs="Times New Roman"/>
                <w:i/>
                <w:iCs/>
                <w:color w:val="000000" w:themeColor="text1"/>
                <w:sz w:val="21"/>
                <w:szCs w:val="21"/>
                <w:lang w:eastAsia="uk-UA"/>
              </w:rPr>
              <w:t>УП </w:t>
            </w:r>
            <w:r w:rsidRPr="00CC1ADD">
              <w:rPr>
                <w:rFonts w:ascii="Times New Roman" w:eastAsia="Times New Roman" w:hAnsi="Times New Roman" w:cs="Times New Roman"/>
                <w:color w:val="000000" w:themeColor="text1"/>
                <w:sz w:val="21"/>
                <w:szCs w:val="21"/>
                <w:lang w:eastAsia="uk-UA"/>
              </w:rPr>
              <w:t>, грн/кВт*год.,</w:t>
            </w:r>
          </w:p>
          <w:p w14:paraId="0A7E28F2"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де </w:t>
            </w:r>
            <w:proofErr w:type="spellStart"/>
            <w:r w:rsidRPr="00CC1ADD">
              <w:rPr>
                <w:rFonts w:ascii="Times New Roman" w:eastAsia="Times New Roman" w:hAnsi="Times New Roman" w:cs="Times New Roman"/>
                <w:color w:val="000000" w:themeColor="text1"/>
                <w:sz w:val="21"/>
                <w:szCs w:val="21"/>
                <w:lang w:eastAsia="uk-UA"/>
              </w:rPr>
              <w:t>Ц</w:t>
            </w:r>
            <w:r w:rsidRPr="00CC1ADD">
              <w:rPr>
                <w:rFonts w:ascii="Times New Roman" w:eastAsia="Times New Roman" w:hAnsi="Times New Roman" w:cs="Times New Roman"/>
                <w:i/>
                <w:iCs/>
                <w:color w:val="000000" w:themeColor="text1"/>
                <w:sz w:val="21"/>
                <w:szCs w:val="21"/>
                <w:lang w:eastAsia="uk-UA"/>
              </w:rPr>
              <w:t>прогн</w:t>
            </w:r>
            <w:proofErr w:type="spellEnd"/>
            <w:r w:rsidRPr="00CC1ADD">
              <w:rPr>
                <w:rFonts w:ascii="Times New Roman" w:eastAsia="Times New Roman" w:hAnsi="Times New Roman" w:cs="Times New Roman"/>
                <w:i/>
                <w:iCs/>
                <w:color w:val="000000" w:themeColor="text1"/>
                <w:sz w:val="21"/>
                <w:szCs w:val="21"/>
                <w:lang w:eastAsia="uk-UA"/>
              </w:rPr>
              <w:t xml:space="preserve"> ЗЦ – </w:t>
            </w:r>
            <w:r w:rsidRPr="00CC1ADD">
              <w:rPr>
                <w:rFonts w:ascii="Times New Roman" w:eastAsia="Times New Roman" w:hAnsi="Times New Roman" w:cs="Times New Roman"/>
                <w:color w:val="000000" w:themeColor="text1"/>
                <w:sz w:val="21"/>
                <w:szCs w:val="21"/>
                <w:lang w:eastAsia="uk-UA"/>
              </w:rPr>
              <w:t>прогнозована ціна закупівлі</w:t>
            </w:r>
            <w:r w:rsidRPr="00CC1ADD">
              <w:rPr>
                <w:rFonts w:ascii="Times New Roman" w:eastAsia="Times New Roman" w:hAnsi="Times New Roman" w:cs="Times New Roman"/>
                <w:i/>
                <w:iCs/>
                <w:color w:val="000000" w:themeColor="text1"/>
                <w:sz w:val="21"/>
                <w:szCs w:val="21"/>
                <w:lang w:eastAsia="uk-UA"/>
              </w:rPr>
              <w:t> </w:t>
            </w:r>
            <w:r w:rsidRPr="00CC1ADD">
              <w:rPr>
                <w:rFonts w:ascii="Times New Roman" w:eastAsia="Times New Roman" w:hAnsi="Times New Roman" w:cs="Times New Roman"/>
                <w:color w:val="000000" w:themeColor="text1"/>
                <w:sz w:val="21"/>
                <w:szCs w:val="21"/>
                <w:lang w:eastAsia="uk-UA"/>
              </w:rPr>
              <w:t>електроенергії постачальником універсальних послуг;</w:t>
            </w:r>
          </w:p>
          <w:p w14:paraId="24F58589"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proofErr w:type="spellStart"/>
            <w:r w:rsidRPr="00CC1ADD">
              <w:rPr>
                <w:rFonts w:ascii="Times New Roman" w:eastAsia="Times New Roman" w:hAnsi="Times New Roman" w:cs="Times New Roman"/>
                <w:color w:val="000000" w:themeColor="text1"/>
                <w:sz w:val="21"/>
                <w:szCs w:val="21"/>
                <w:lang w:eastAsia="uk-UA"/>
              </w:rPr>
              <w:t>Т</w:t>
            </w:r>
            <w:r w:rsidRPr="00CC1ADD">
              <w:rPr>
                <w:rFonts w:ascii="Times New Roman" w:eastAsia="Times New Roman" w:hAnsi="Times New Roman" w:cs="Times New Roman"/>
                <w:i/>
                <w:iCs/>
                <w:color w:val="000000" w:themeColor="text1"/>
                <w:sz w:val="21"/>
                <w:szCs w:val="21"/>
                <w:lang w:eastAsia="uk-UA"/>
              </w:rPr>
              <w:t>пер</w:t>
            </w:r>
            <w:proofErr w:type="spellEnd"/>
            <w:r w:rsidRPr="00CC1ADD">
              <w:rPr>
                <w:rFonts w:ascii="Times New Roman" w:eastAsia="Times New Roman" w:hAnsi="Times New Roman" w:cs="Times New Roman"/>
                <w:i/>
                <w:iCs/>
                <w:color w:val="000000" w:themeColor="text1"/>
                <w:sz w:val="21"/>
                <w:szCs w:val="21"/>
                <w:lang w:eastAsia="uk-UA"/>
              </w:rPr>
              <w:t>  </w:t>
            </w:r>
            <w:r w:rsidRPr="00CC1ADD">
              <w:rPr>
                <w:rFonts w:ascii="Times New Roman" w:eastAsia="Times New Roman" w:hAnsi="Times New Roman" w:cs="Times New Roman"/>
                <w:color w:val="000000" w:themeColor="text1"/>
                <w:sz w:val="21"/>
                <w:szCs w:val="21"/>
                <w:lang w:eastAsia="uk-UA"/>
              </w:rPr>
              <w:t>- тариф на послуги з передачі електроенергії, встановлений Регулятором;</w:t>
            </w:r>
          </w:p>
          <w:p w14:paraId="7A10A664"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Т</w:t>
            </w:r>
            <w:r w:rsidRPr="00CC1ADD">
              <w:rPr>
                <w:rFonts w:ascii="Times New Roman" w:eastAsia="Times New Roman" w:hAnsi="Times New Roman" w:cs="Times New Roman"/>
                <w:i/>
                <w:iCs/>
                <w:color w:val="000000" w:themeColor="text1"/>
                <w:sz w:val="21"/>
                <w:szCs w:val="21"/>
                <w:lang w:eastAsia="uk-UA"/>
              </w:rPr>
              <w:t>Р </w:t>
            </w:r>
            <w:r w:rsidRPr="00CC1ADD">
              <w:rPr>
                <w:rFonts w:ascii="Times New Roman" w:eastAsia="Times New Roman" w:hAnsi="Times New Roman" w:cs="Times New Roman"/>
                <w:color w:val="000000" w:themeColor="text1"/>
                <w:sz w:val="21"/>
                <w:szCs w:val="21"/>
                <w:lang w:eastAsia="uk-UA"/>
              </w:rPr>
              <w:t>- тариф на послуги з розподілу електроенергії, встановлений Регулятором;</w:t>
            </w:r>
          </w:p>
          <w:p w14:paraId="6BCC516C"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Т</w:t>
            </w:r>
            <w:r w:rsidRPr="00CC1ADD">
              <w:rPr>
                <w:rFonts w:ascii="Times New Roman" w:eastAsia="Times New Roman" w:hAnsi="Times New Roman" w:cs="Times New Roman"/>
                <w:i/>
                <w:iCs/>
                <w:color w:val="000000" w:themeColor="text1"/>
                <w:sz w:val="21"/>
                <w:szCs w:val="21"/>
                <w:lang w:eastAsia="uk-UA"/>
              </w:rPr>
              <w:t>УП </w:t>
            </w:r>
            <w:r w:rsidRPr="00CC1ADD">
              <w:rPr>
                <w:rFonts w:ascii="Times New Roman" w:eastAsia="Times New Roman" w:hAnsi="Times New Roman" w:cs="Times New Roman"/>
                <w:color w:val="000000" w:themeColor="text1"/>
                <w:sz w:val="21"/>
                <w:szCs w:val="21"/>
                <w:lang w:eastAsia="uk-UA"/>
              </w:rPr>
              <w:t> - тариф на послуги постачальника універсальних послуг, встановлений Регулятором.</w:t>
            </w:r>
          </w:p>
          <w:p w14:paraId="185C8942" w14:textId="03FDE227" w:rsidR="002D7A9B" w:rsidRPr="000E6991"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w:t>
            </w:r>
            <w:r w:rsidRPr="000E6991">
              <w:rPr>
                <w:rFonts w:ascii="Times New Roman" w:eastAsia="Times New Roman" w:hAnsi="Times New Roman" w:cs="Times New Roman"/>
                <w:color w:val="000000" w:themeColor="text1"/>
                <w:sz w:val="21"/>
                <w:szCs w:val="21"/>
                <w:lang w:eastAsia="uk-UA"/>
              </w:rPr>
              <w:t>На </w:t>
            </w:r>
            <w:r w:rsidR="000E6991" w:rsidRPr="000E6991">
              <w:rPr>
                <w:rFonts w:ascii="Times New Roman" w:eastAsia="Times New Roman" w:hAnsi="Times New Roman" w:cs="Times New Roman"/>
                <w:b/>
                <w:bCs/>
                <w:color w:val="000000" w:themeColor="text1"/>
                <w:sz w:val="21"/>
                <w:szCs w:val="21"/>
                <w:lang w:eastAsia="uk-UA"/>
              </w:rPr>
              <w:t>липень</w:t>
            </w:r>
            <w:r w:rsidR="008E1E4B" w:rsidRPr="000E6991">
              <w:rPr>
                <w:rFonts w:ascii="Times New Roman" w:eastAsia="Times New Roman" w:hAnsi="Times New Roman" w:cs="Times New Roman"/>
                <w:b/>
                <w:bCs/>
                <w:color w:val="000000" w:themeColor="text1"/>
                <w:sz w:val="21"/>
                <w:szCs w:val="21"/>
                <w:lang w:eastAsia="uk-UA"/>
              </w:rPr>
              <w:t xml:space="preserve"> 2024 </w:t>
            </w:r>
            <w:r w:rsidR="00B93A34" w:rsidRPr="000E6991">
              <w:rPr>
                <w:rFonts w:ascii="Times New Roman" w:eastAsia="Times New Roman" w:hAnsi="Times New Roman" w:cs="Times New Roman"/>
                <w:b/>
                <w:bCs/>
                <w:color w:val="000000" w:themeColor="text1"/>
                <w:sz w:val="21"/>
                <w:szCs w:val="21"/>
                <w:lang w:eastAsia="uk-UA"/>
              </w:rPr>
              <w:t>р</w:t>
            </w:r>
            <w:r w:rsidRPr="000E6991">
              <w:rPr>
                <w:rFonts w:ascii="Times New Roman" w:eastAsia="Times New Roman" w:hAnsi="Times New Roman" w:cs="Times New Roman"/>
                <w:b/>
                <w:bCs/>
                <w:color w:val="000000" w:themeColor="text1"/>
                <w:sz w:val="21"/>
                <w:szCs w:val="21"/>
                <w:lang w:eastAsia="uk-UA"/>
              </w:rPr>
              <w:t> </w:t>
            </w:r>
            <w:r w:rsidRPr="000E6991">
              <w:rPr>
                <w:rFonts w:ascii="Times New Roman" w:eastAsia="Times New Roman" w:hAnsi="Times New Roman" w:cs="Times New Roman"/>
                <w:color w:val="000000" w:themeColor="text1"/>
                <w:sz w:val="21"/>
                <w:szCs w:val="21"/>
                <w:lang w:eastAsia="uk-UA"/>
              </w:rPr>
              <w:t>ціна (тариф)  на універсальні послуги для малих непобутових споживачів  відповідно до укладеного договору з оператором системи на послуги розподілу (передачі) становить :</w:t>
            </w:r>
          </w:p>
          <w:tbl>
            <w:tblPr>
              <w:tblW w:w="5208" w:type="dxa"/>
              <w:tblLook w:val="04A0" w:firstRow="1" w:lastRow="0" w:firstColumn="1" w:lastColumn="0" w:noHBand="0" w:noVBand="1"/>
            </w:tblPr>
            <w:tblGrid>
              <w:gridCol w:w="2552"/>
              <w:gridCol w:w="1328"/>
              <w:gridCol w:w="1328"/>
            </w:tblGrid>
            <w:tr w:rsidR="000E6991" w:rsidRPr="000E6991" w14:paraId="6CD6E517" w14:textId="77777777" w:rsidTr="000E6991">
              <w:trPr>
                <w:trHeight w:val="330"/>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EF5692" w14:textId="77777777"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rFonts w:ascii="Times New Roman" w:eastAsia="Times New Roman" w:hAnsi="Times New Roman" w:cs="Times New Roman"/>
                      <w:b/>
                      <w:bCs/>
                      <w:color w:val="000000"/>
                      <w:sz w:val="20"/>
                      <w:szCs w:val="20"/>
                      <w:lang w:eastAsia="uk-UA"/>
                    </w:rPr>
                    <w:t xml:space="preserve">Клас напруги/ ОСР </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41D90BAF" w14:textId="4A190753"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Ціна грн/кВт*год без ПДВ</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3EA220F3" w14:textId="17236DC4"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Ціна грн/кВт*год  з ПДВ</w:t>
                  </w:r>
                </w:p>
              </w:tc>
            </w:tr>
            <w:tr w:rsidR="000E6991" w:rsidRPr="000E6991" w14:paraId="18BDF6E1" w14:textId="77777777" w:rsidTr="000E6991">
              <w:trPr>
                <w:trHeight w:val="330"/>
              </w:trPr>
              <w:tc>
                <w:tcPr>
                  <w:tcW w:w="2552" w:type="dxa"/>
                  <w:tcBorders>
                    <w:top w:val="nil"/>
                    <w:left w:val="single" w:sz="8" w:space="0" w:color="auto"/>
                    <w:bottom w:val="nil"/>
                    <w:right w:val="single" w:sz="8" w:space="0" w:color="auto"/>
                  </w:tcBorders>
                  <w:shd w:val="clear" w:color="auto" w:fill="auto"/>
                  <w:vAlign w:val="center"/>
                  <w:hideMark/>
                </w:tcPr>
                <w:p w14:paraId="0B1F82E5" w14:textId="77777777" w:rsidR="000E6991" w:rsidRPr="000E6991" w:rsidRDefault="000E6991" w:rsidP="000E6991">
                  <w:pPr>
                    <w:spacing w:after="0" w:line="240" w:lineRule="auto"/>
                    <w:rPr>
                      <w:rFonts w:ascii="Times New Roman" w:eastAsia="Times New Roman" w:hAnsi="Times New Roman" w:cs="Times New Roman"/>
                      <w:b/>
                      <w:bCs/>
                      <w:color w:val="000000"/>
                      <w:sz w:val="20"/>
                      <w:szCs w:val="20"/>
                      <w:lang w:eastAsia="uk-UA"/>
                    </w:rPr>
                  </w:pPr>
                  <w:r w:rsidRPr="000E6991">
                    <w:rPr>
                      <w:rFonts w:ascii="Times New Roman" w:eastAsia="Times New Roman" w:hAnsi="Times New Roman" w:cs="Times New Roman"/>
                      <w:b/>
                      <w:bCs/>
                      <w:color w:val="000000"/>
                      <w:sz w:val="20"/>
                      <w:szCs w:val="20"/>
                      <w:lang w:eastAsia="uk-UA"/>
                    </w:rPr>
                    <w:t>ОСР АТ «</w:t>
                  </w:r>
                  <w:proofErr w:type="spellStart"/>
                  <w:r w:rsidRPr="000E6991">
                    <w:rPr>
                      <w:rFonts w:ascii="Times New Roman" w:eastAsia="Times New Roman" w:hAnsi="Times New Roman" w:cs="Times New Roman"/>
                      <w:b/>
                      <w:bCs/>
                      <w:color w:val="000000"/>
                      <w:sz w:val="20"/>
                      <w:szCs w:val="20"/>
                      <w:lang w:eastAsia="uk-UA"/>
                    </w:rPr>
                    <w:t>Прикарпаттяобленерго</w:t>
                  </w:r>
                  <w:proofErr w:type="spellEnd"/>
                  <w:r w:rsidRPr="000E6991">
                    <w:rPr>
                      <w:rFonts w:ascii="Times New Roman" w:eastAsia="Times New Roman" w:hAnsi="Times New Roman" w:cs="Times New Roman"/>
                      <w:b/>
                      <w:bCs/>
                      <w:color w:val="000000"/>
                      <w:sz w:val="20"/>
                      <w:szCs w:val="20"/>
                      <w:lang w:eastAsia="uk-UA"/>
                    </w:rPr>
                    <w:t>»</w:t>
                  </w:r>
                </w:p>
              </w:tc>
              <w:tc>
                <w:tcPr>
                  <w:tcW w:w="1328" w:type="dxa"/>
                  <w:tcBorders>
                    <w:top w:val="nil"/>
                    <w:left w:val="single" w:sz="8" w:space="0" w:color="auto"/>
                    <w:bottom w:val="nil"/>
                    <w:right w:val="single" w:sz="8" w:space="0" w:color="auto"/>
                  </w:tcBorders>
                  <w:shd w:val="clear" w:color="auto" w:fill="auto"/>
                  <w:vAlign w:val="center"/>
                  <w:hideMark/>
                </w:tcPr>
                <w:p w14:paraId="52ED2F15" w14:textId="5CD26A7A" w:rsidR="000E6991" w:rsidRPr="000E6991" w:rsidRDefault="000E6991" w:rsidP="000E6991">
                  <w:pPr>
                    <w:spacing w:after="0" w:line="240" w:lineRule="auto"/>
                    <w:rPr>
                      <w:rFonts w:ascii="Times New Roman" w:eastAsia="Times New Roman" w:hAnsi="Times New Roman" w:cs="Times New Roman"/>
                      <w:b/>
                      <w:bCs/>
                      <w:color w:val="000000"/>
                      <w:sz w:val="20"/>
                      <w:szCs w:val="20"/>
                      <w:lang w:eastAsia="uk-UA"/>
                    </w:rPr>
                  </w:pPr>
                  <w:r w:rsidRPr="000E6991">
                    <w:rPr>
                      <w:b/>
                      <w:bCs/>
                      <w:color w:val="000000"/>
                      <w:sz w:val="20"/>
                      <w:szCs w:val="20"/>
                    </w:rPr>
                    <w:t> </w:t>
                  </w:r>
                </w:p>
              </w:tc>
              <w:tc>
                <w:tcPr>
                  <w:tcW w:w="1328" w:type="dxa"/>
                  <w:tcBorders>
                    <w:top w:val="nil"/>
                    <w:left w:val="nil"/>
                    <w:bottom w:val="nil"/>
                    <w:right w:val="single" w:sz="8" w:space="0" w:color="auto"/>
                  </w:tcBorders>
                  <w:shd w:val="clear" w:color="auto" w:fill="auto"/>
                  <w:vAlign w:val="center"/>
                  <w:hideMark/>
                </w:tcPr>
                <w:p w14:paraId="703412B1" w14:textId="66948BA8" w:rsidR="000E6991" w:rsidRPr="000E6991" w:rsidRDefault="000E6991" w:rsidP="000E6991">
                  <w:pPr>
                    <w:spacing w:after="0" w:line="240" w:lineRule="auto"/>
                    <w:rPr>
                      <w:rFonts w:ascii="Calibri" w:eastAsia="Times New Roman" w:hAnsi="Calibri" w:cs="Calibri"/>
                      <w:color w:val="000000"/>
                      <w:lang w:eastAsia="uk-UA"/>
                    </w:rPr>
                  </w:pPr>
                  <w:r w:rsidRPr="000E6991">
                    <w:rPr>
                      <w:rFonts w:ascii="Calibri" w:hAnsi="Calibri" w:cs="Calibri"/>
                      <w:color w:val="000000"/>
                    </w:rPr>
                    <w:t> </w:t>
                  </w:r>
                </w:p>
              </w:tc>
            </w:tr>
            <w:tr w:rsidR="000E6991" w:rsidRPr="000E6991" w14:paraId="5D304705" w14:textId="77777777" w:rsidTr="000E6991">
              <w:trPr>
                <w:trHeight w:val="420"/>
              </w:trPr>
              <w:tc>
                <w:tcPr>
                  <w:tcW w:w="2552" w:type="dxa"/>
                  <w:tcBorders>
                    <w:top w:val="nil"/>
                    <w:left w:val="single" w:sz="8" w:space="0" w:color="auto"/>
                    <w:bottom w:val="nil"/>
                    <w:right w:val="single" w:sz="8" w:space="0" w:color="auto"/>
                  </w:tcBorders>
                  <w:shd w:val="clear" w:color="auto" w:fill="auto"/>
                  <w:vAlign w:val="center"/>
                  <w:hideMark/>
                </w:tcPr>
                <w:p w14:paraId="4AB4E2D7" w14:textId="77777777" w:rsidR="000E6991" w:rsidRPr="000E6991" w:rsidRDefault="000E6991" w:rsidP="000E6991">
                  <w:pPr>
                    <w:spacing w:after="0" w:line="240" w:lineRule="auto"/>
                    <w:rPr>
                      <w:rFonts w:ascii="Times New Roman" w:eastAsia="Times New Roman" w:hAnsi="Times New Roman" w:cs="Times New Roman"/>
                      <w:color w:val="000000"/>
                      <w:sz w:val="20"/>
                      <w:szCs w:val="20"/>
                      <w:lang w:eastAsia="uk-UA"/>
                    </w:rPr>
                  </w:pPr>
                  <w:r w:rsidRPr="000E6991">
                    <w:rPr>
                      <w:rFonts w:ascii="Times New Roman" w:eastAsia="Times New Roman" w:hAnsi="Times New Roman" w:cs="Times New Roman"/>
                      <w:color w:val="000000"/>
                      <w:sz w:val="20"/>
                      <w:szCs w:val="20"/>
                      <w:lang w:eastAsia="uk-UA"/>
                    </w:rPr>
                    <w:t xml:space="preserve"> І клас напруги</w:t>
                  </w:r>
                </w:p>
              </w:tc>
              <w:tc>
                <w:tcPr>
                  <w:tcW w:w="1328" w:type="dxa"/>
                  <w:tcBorders>
                    <w:top w:val="nil"/>
                    <w:left w:val="single" w:sz="8" w:space="0" w:color="auto"/>
                    <w:bottom w:val="nil"/>
                    <w:right w:val="single" w:sz="8" w:space="0" w:color="auto"/>
                  </w:tcBorders>
                  <w:shd w:val="clear" w:color="auto" w:fill="auto"/>
                  <w:vAlign w:val="center"/>
                  <w:hideMark/>
                </w:tcPr>
                <w:p w14:paraId="186F286D" w14:textId="08F158DE"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5,264810</w:t>
                  </w:r>
                </w:p>
              </w:tc>
              <w:tc>
                <w:tcPr>
                  <w:tcW w:w="1328" w:type="dxa"/>
                  <w:tcBorders>
                    <w:top w:val="nil"/>
                    <w:left w:val="nil"/>
                    <w:bottom w:val="nil"/>
                    <w:right w:val="single" w:sz="8" w:space="0" w:color="auto"/>
                  </w:tcBorders>
                  <w:shd w:val="clear" w:color="auto" w:fill="auto"/>
                  <w:vAlign w:val="center"/>
                  <w:hideMark/>
                </w:tcPr>
                <w:p w14:paraId="7B6E9AA9" w14:textId="274A6179" w:rsidR="000E6991" w:rsidRPr="000E6991" w:rsidRDefault="000E6991" w:rsidP="000E6991">
                  <w:pPr>
                    <w:spacing w:after="0" w:line="240" w:lineRule="auto"/>
                    <w:jc w:val="center"/>
                    <w:rPr>
                      <w:rFonts w:ascii="Calibri" w:eastAsia="Times New Roman" w:hAnsi="Calibri" w:cs="Calibri"/>
                      <w:b/>
                      <w:bCs/>
                      <w:color w:val="000000"/>
                      <w:lang w:eastAsia="uk-UA"/>
                    </w:rPr>
                  </w:pPr>
                  <w:r w:rsidRPr="000E6991">
                    <w:rPr>
                      <w:rFonts w:ascii="Calibri" w:hAnsi="Calibri" w:cs="Calibri"/>
                      <w:b/>
                      <w:bCs/>
                      <w:color w:val="000000"/>
                    </w:rPr>
                    <w:t>6,317772</w:t>
                  </w:r>
                </w:p>
              </w:tc>
            </w:tr>
            <w:tr w:rsidR="000E6991" w:rsidRPr="000E6991" w14:paraId="7CE64C05" w14:textId="77777777" w:rsidTr="000E6991">
              <w:trPr>
                <w:trHeight w:val="33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20216DF3" w14:textId="77777777" w:rsidR="000E6991" w:rsidRPr="000E6991" w:rsidRDefault="000E6991" w:rsidP="000E6991">
                  <w:pPr>
                    <w:spacing w:after="0" w:line="240" w:lineRule="auto"/>
                    <w:rPr>
                      <w:rFonts w:ascii="Times New Roman" w:eastAsia="Times New Roman" w:hAnsi="Times New Roman" w:cs="Times New Roman"/>
                      <w:color w:val="000000"/>
                      <w:sz w:val="20"/>
                      <w:szCs w:val="20"/>
                      <w:lang w:eastAsia="uk-UA"/>
                    </w:rPr>
                  </w:pPr>
                  <w:r w:rsidRPr="000E6991">
                    <w:rPr>
                      <w:rFonts w:ascii="Times New Roman" w:eastAsia="Times New Roman" w:hAnsi="Times New Roman" w:cs="Times New Roman"/>
                      <w:color w:val="000000"/>
                      <w:sz w:val="20"/>
                      <w:szCs w:val="20"/>
                      <w:lang w:eastAsia="uk-UA"/>
                    </w:rPr>
                    <w:lastRenderedPageBreak/>
                    <w:t>ІІ клас напруги</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3D83C2AB" w14:textId="2F3C0C98"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7,066160</w:t>
                  </w:r>
                </w:p>
              </w:tc>
              <w:tc>
                <w:tcPr>
                  <w:tcW w:w="1328" w:type="dxa"/>
                  <w:tcBorders>
                    <w:top w:val="nil"/>
                    <w:left w:val="nil"/>
                    <w:bottom w:val="nil"/>
                    <w:right w:val="single" w:sz="8" w:space="0" w:color="auto"/>
                  </w:tcBorders>
                  <w:shd w:val="clear" w:color="auto" w:fill="auto"/>
                  <w:vAlign w:val="center"/>
                  <w:hideMark/>
                </w:tcPr>
                <w:p w14:paraId="02CFE73A" w14:textId="1FA2FD3A" w:rsidR="000E6991" w:rsidRPr="000E6991" w:rsidRDefault="000E6991" w:rsidP="000E6991">
                  <w:pPr>
                    <w:spacing w:after="0" w:line="240" w:lineRule="auto"/>
                    <w:jc w:val="center"/>
                    <w:rPr>
                      <w:rFonts w:ascii="Calibri" w:eastAsia="Times New Roman" w:hAnsi="Calibri" w:cs="Calibri"/>
                      <w:b/>
                      <w:bCs/>
                      <w:color w:val="000000"/>
                      <w:lang w:eastAsia="uk-UA"/>
                    </w:rPr>
                  </w:pPr>
                  <w:r w:rsidRPr="000E6991">
                    <w:rPr>
                      <w:rFonts w:ascii="Calibri" w:hAnsi="Calibri" w:cs="Calibri"/>
                      <w:b/>
                      <w:bCs/>
                      <w:color w:val="000000"/>
                    </w:rPr>
                    <w:t>8,479392</w:t>
                  </w:r>
                </w:p>
              </w:tc>
            </w:tr>
            <w:tr w:rsidR="000E6991" w:rsidRPr="000E6991" w14:paraId="20C60616" w14:textId="77777777" w:rsidTr="000E6991">
              <w:trPr>
                <w:trHeight w:val="330"/>
              </w:trPr>
              <w:tc>
                <w:tcPr>
                  <w:tcW w:w="2552" w:type="dxa"/>
                  <w:tcBorders>
                    <w:top w:val="nil"/>
                    <w:left w:val="single" w:sz="8" w:space="0" w:color="auto"/>
                    <w:bottom w:val="nil"/>
                    <w:right w:val="single" w:sz="8" w:space="0" w:color="auto"/>
                  </w:tcBorders>
                  <w:shd w:val="clear" w:color="auto" w:fill="auto"/>
                  <w:vAlign w:val="center"/>
                  <w:hideMark/>
                </w:tcPr>
                <w:p w14:paraId="29FF659D" w14:textId="77777777" w:rsidR="000E6991" w:rsidRPr="000E6991" w:rsidRDefault="000E6991" w:rsidP="000E6991">
                  <w:pPr>
                    <w:spacing w:after="0" w:line="240" w:lineRule="auto"/>
                    <w:rPr>
                      <w:rFonts w:ascii="Times New Roman" w:eastAsia="Times New Roman" w:hAnsi="Times New Roman" w:cs="Times New Roman"/>
                      <w:b/>
                      <w:bCs/>
                      <w:color w:val="000000"/>
                      <w:sz w:val="20"/>
                      <w:szCs w:val="20"/>
                      <w:lang w:eastAsia="uk-UA"/>
                    </w:rPr>
                  </w:pPr>
                  <w:r w:rsidRPr="000E6991">
                    <w:rPr>
                      <w:rFonts w:ascii="Times New Roman" w:eastAsia="Times New Roman" w:hAnsi="Times New Roman" w:cs="Times New Roman"/>
                      <w:b/>
                      <w:bCs/>
                      <w:color w:val="000000"/>
                      <w:sz w:val="20"/>
                      <w:szCs w:val="20"/>
                      <w:lang w:eastAsia="uk-UA"/>
                    </w:rPr>
                    <w:t>ОСР АТ «Укрзалізниця »</w:t>
                  </w:r>
                </w:p>
              </w:tc>
              <w:tc>
                <w:tcPr>
                  <w:tcW w:w="1328" w:type="dxa"/>
                  <w:tcBorders>
                    <w:top w:val="nil"/>
                    <w:left w:val="single" w:sz="8" w:space="0" w:color="auto"/>
                    <w:bottom w:val="nil"/>
                    <w:right w:val="single" w:sz="8" w:space="0" w:color="auto"/>
                  </w:tcBorders>
                  <w:shd w:val="clear" w:color="auto" w:fill="auto"/>
                  <w:vAlign w:val="center"/>
                  <w:hideMark/>
                </w:tcPr>
                <w:p w14:paraId="45EA03F0" w14:textId="10C26008"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 </w:t>
                  </w:r>
                </w:p>
              </w:tc>
              <w:tc>
                <w:tcPr>
                  <w:tcW w:w="1328" w:type="dxa"/>
                  <w:tcBorders>
                    <w:top w:val="single" w:sz="8" w:space="0" w:color="auto"/>
                    <w:left w:val="nil"/>
                    <w:bottom w:val="nil"/>
                    <w:right w:val="single" w:sz="8" w:space="0" w:color="auto"/>
                  </w:tcBorders>
                  <w:shd w:val="clear" w:color="auto" w:fill="auto"/>
                  <w:vAlign w:val="center"/>
                  <w:hideMark/>
                </w:tcPr>
                <w:p w14:paraId="3DA5E81A" w14:textId="47D7FA23"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 </w:t>
                  </w:r>
                </w:p>
              </w:tc>
            </w:tr>
            <w:tr w:rsidR="000E6991" w:rsidRPr="000E6991" w14:paraId="0A812A65" w14:textId="77777777" w:rsidTr="000E6991">
              <w:trPr>
                <w:trHeight w:val="405"/>
              </w:trPr>
              <w:tc>
                <w:tcPr>
                  <w:tcW w:w="2552" w:type="dxa"/>
                  <w:tcBorders>
                    <w:top w:val="nil"/>
                    <w:left w:val="single" w:sz="8" w:space="0" w:color="auto"/>
                    <w:bottom w:val="nil"/>
                    <w:right w:val="single" w:sz="8" w:space="0" w:color="auto"/>
                  </w:tcBorders>
                  <w:shd w:val="clear" w:color="auto" w:fill="auto"/>
                  <w:vAlign w:val="center"/>
                  <w:hideMark/>
                </w:tcPr>
                <w:p w14:paraId="67E44F42" w14:textId="77777777" w:rsidR="000E6991" w:rsidRPr="000E6991" w:rsidRDefault="000E6991" w:rsidP="000E6991">
                  <w:pPr>
                    <w:spacing w:after="0" w:line="240" w:lineRule="auto"/>
                    <w:rPr>
                      <w:rFonts w:ascii="Times New Roman" w:eastAsia="Times New Roman" w:hAnsi="Times New Roman" w:cs="Times New Roman"/>
                      <w:color w:val="000000"/>
                      <w:sz w:val="20"/>
                      <w:szCs w:val="20"/>
                      <w:lang w:eastAsia="uk-UA"/>
                    </w:rPr>
                  </w:pPr>
                  <w:r w:rsidRPr="000E6991">
                    <w:rPr>
                      <w:rFonts w:ascii="Times New Roman" w:eastAsia="Times New Roman" w:hAnsi="Times New Roman" w:cs="Times New Roman"/>
                      <w:color w:val="000000"/>
                      <w:sz w:val="20"/>
                      <w:szCs w:val="20"/>
                      <w:lang w:eastAsia="uk-UA"/>
                    </w:rPr>
                    <w:t xml:space="preserve"> І клас напруги</w:t>
                  </w:r>
                </w:p>
              </w:tc>
              <w:tc>
                <w:tcPr>
                  <w:tcW w:w="1328" w:type="dxa"/>
                  <w:tcBorders>
                    <w:top w:val="nil"/>
                    <w:left w:val="single" w:sz="8" w:space="0" w:color="auto"/>
                    <w:bottom w:val="nil"/>
                    <w:right w:val="single" w:sz="8" w:space="0" w:color="auto"/>
                  </w:tcBorders>
                  <w:shd w:val="clear" w:color="auto" w:fill="auto"/>
                  <w:vAlign w:val="center"/>
                  <w:hideMark/>
                </w:tcPr>
                <w:p w14:paraId="3CC18BF1" w14:textId="027B5A7C"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5,322960</w:t>
                  </w:r>
                </w:p>
              </w:tc>
              <w:tc>
                <w:tcPr>
                  <w:tcW w:w="1328" w:type="dxa"/>
                  <w:tcBorders>
                    <w:top w:val="nil"/>
                    <w:left w:val="nil"/>
                    <w:bottom w:val="nil"/>
                    <w:right w:val="single" w:sz="8" w:space="0" w:color="auto"/>
                  </w:tcBorders>
                  <w:shd w:val="clear" w:color="auto" w:fill="auto"/>
                  <w:vAlign w:val="center"/>
                  <w:hideMark/>
                </w:tcPr>
                <w:p w14:paraId="682264C8" w14:textId="4673A198"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6,387552</w:t>
                  </w:r>
                </w:p>
              </w:tc>
            </w:tr>
            <w:tr w:rsidR="000E6991" w:rsidRPr="000E6991" w14:paraId="7A4D9491" w14:textId="77777777" w:rsidTr="000E6991">
              <w:trPr>
                <w:trHeight w:val="33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18442116" w14:textId="77777777" w:rsidR="000E6991" w:rsidRPr="000E6991" w:rsidRDefault="000E6991" w:rsidP="000E6991">
                  <w:pPr>
                    <w:spacing w:after="0" w:line="240" w:lineRule="auto"/>
                    <w:rPr>
                      <w:rFonts w:ascii="Times New Roman" w:eastAsia="Times New Roman" w:hAnsi="Times New Roman" w:cs="Times New Roman"/>
                      <w:color w:val="000000"/>
                      <w:sz w:val="20"/>
                      <w:szCs w:val="20"/>
                      <w:lang w:eastAsia="uk-UA"/>
                    </w:rPr>
                  </w:pPr>
                  <w:r w:rsidRPr="000E6991">
                    <w:rPr>
                      <w:rFonts w:ascii="Times New Roman" w:eastAsia="Times New Roman" w:hAnsi="Times New Roman" w:cs="Times New Roman"/>
                      <w:color w:val="000000"/>
                      <w:sz w:val="20"/>
                      <w:szCs w:val="20"/>
                      <w:lang w:eastAsia="uk-UA"/>
                    </w:rPr>
                    <w:t>ІІ клас напруги</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08B60BE8" w14:textId="0CB86C34"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6,664560</w:t>
                  </w:r>
                </w:p>
              </w:tc>
              <w:tc>
                <w:tcPr>
                  <w:tcW w:w="1328" w:type="dxa"/>
                  <w:tcBorders>
                    <w:top w:val="nil"/>
                    <w:left w:val="nil"/>
                    <w:bottom w:val="nil"/>
                    <w:right w:val="single" w:sz="8" w:space="0" w:color="auto"/>
                  </w:tcBorders>
                  <w:shd w:val="clear" w:color="auto" w:fill="auto"/>
                  <w:vAlign w:val="center"/>
                  <w:hideMark/>
                </w:tcPr>
                <w:p w14:paraId="4AF37EA0" w14:textId="37A678D8"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7,997472</w:t>
                  </w:r>
                </w:p>
              </w:tc>
            </w:tr>
            <w:tr w:rsidR="000E6991" w:rsidRPr="000E6991" w14:paraId="1451A391" w14:textId="77777777" w:rsidTr="000E6991">
              <w:trPr>
                <w:trHeight w:val="330"/>
              </w:trPr>
              <w:tc>
                <w:tcPr>
                  <w:tcW w:w="2552" w:type="dxa"/>
                  <w:tcBorders>
                    <w:top w:val="nil"/>
                    <w:left w:val="single" w:sz="8" w:space="0" w:color="auto"/>
                    <w:bottom w:val="nil"/>
                    <w:right w:val="single" w:sz="8" w:space="0" w:color="auto"/>
                  </w:tcBorders>
                  <w:shd w:val="clear" w:color="auto" w:fill="auto"/>
                  <w:vAlign w:val="center"/>
                  <w:hideMark/>
                </w:tcPr>
                <w:p w14:paraId="0D4973B8" w14:textId="77777777" w:rsidR="000E6991" w:rsidRPr="000E6991" w:rsidRDefault="000E6991" w:rsidP="000E6991">
                  <w:pPr>
                    <w:spacing w:after="0" w:line="240" w:lineRule="auto"/>
                    <w:rPr>
                      <w:rFonts w:ascii="Times New Roman" w:eastAsia="Times New Roman" w:hAnsi="Times New Roman" w:cs="Times New Roman"/>
                      <w:b/>
                      <w:bCs/>
                      <w:color w:val="000000"/>
                      <w:sz w:val="20"/>
                      <w:szCs w:val="20"/>
                      <w:lang w:eastAsia="uk-UA"/>
                    </w:rPr>
                  </w:pPr>
                  <w:r w:rsidRPr="000E6991">
                    <w:rPr>
                      <w:rFonts w:ascii="Times New Roman" w:eastAsia="Times New Roman" w:hAnsi="Times New Roman" w:cs="Times New Roman"/>
                      <w:b/>
                      <w:bCs/>
                      <w:color w:val="000000"/>
                      <w:sz w:val="20"/>
                      <w:szCs w:val="20"/>
                      <w:lang w:eastAsia="uk-UA"/>
                    </w:rPr>
                    <w:t>ОСР ВАТ «</w:t>
                  </w:r>
                  <w:proofErr w:type="spellStart"/>
                  <w:r w:rsidRPr="000E6991">
                    <w:rPr>
                      <w:rFonts w:ascii="Times New Roman" w:eastAsia="Times New Roman" w:hAnsi="Times New Roman" w:cs="Times New Roman"/>
                      <w:b/>
                      <w:bCs/>
                      <w:color w:val="000000"/>
                      <w:sz w:val="20"/>
                      <w:szCs w:val="20"/>
                      <w:lang w:eastAsia="uk-UA"/>
                    </w:rPr>
                    <w:t>Тернопільобленерго</w:t>
                  </w:r>
                  <w:proofErr w:type="spellEnd"/>
                  <w:r w:rsidRPr="000E6991">
                    <w:rPr>
                      <w:rFonts w:ascii="Times New Roman" w:eastAsia="Times New Roman" w:hAnsi="Times New Roman" w:cs="Times New Roman"/>
                      <w:b/>
                      <w:bCs/>
                      <w:color w:val="000000"/>
                      <w:sz w:val="20"/>
                      <w:szCs w:val="20"/>
                      <w:lang w:eastAsia="uk-UA"/>
                    </w:rPr>
                    <w:t>»</w:t>
                  </w:r>
                </w:p>
              </w:tc>
              <w:tc>
                <w:tcPr>
                  <w:tcW w:w="1328" w:type="dxa"/>
                  <w:tcBorders>
                    <w:top w:val="nil"/>
                    <w:left w:val="single" w:sz="8" w:space="0" w:color="auto"/>
                    <w:bottom w:val="nil"/>
                    <w:right w:val="single" w:sz="8" w:space="0" w:color="auto"/>
                  </w:tcBorders>
                  <w:shd w:val="clear" w:color="auto" w:fill="auto"/>
                  <w:vAlign w:val="center"/>
                  <w:hideMark/>
                </w:tcPr>
                <w:p w14:paraId="55E902D4" w14:textId="4ECF3324"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 </w:t>
                  </w:r>
                </w:p>
              </w:tc>
              <w:tc>
                <w:tcPr>
                  <w:tcW w:w="1328" w:type="dxa"/>
                  <w:tcBorders>
                    <w:top w:val="single" w:sz="8" w:space="0" w:color="auto"/>
                    <w:left w:val="nil"/>
                    <w:bottom w:val="nil"/>
                    <w:right w:val="single" w:sz="8" w:space="0" w:color="auto"/>
                  </w:tcBorders>
                  <w:shd w:val="clear" w:color="auto" w:fill="auto"/>
                  <w:vAlign w:val="center"/>
                  <w:hideMark/>
                </w:tcPr>
                <w:p w14:paraId="671E6691" w14:textId="0DA52B2D" w:rsidR="000E6991" w:rsidRPr="000E6991" w:rsidRDefault="000E6991" w:rsidP="000E6991">
                  <w:pPr>
                    <w:spacing w:after="0" w:line="240" w:lineRule="auto"/>
                    <w:jc w:val="center"/>
                    <w:rPr>
                      <w:rFonts w:ascii="Calibri" w:eastAsia="Times New Roman" w:hAnsi="Calibri" w:cs="Calibri"/>
                      <w:b/>
                      <w:bCs/>
                      <w:color w:val="000000"/>
                      <w:lang w:eastAsia="uk-UA"/>
                    </w:rPr>
                  </w:pPr>
                  <w:r w:rsidRPr="000E6991">
                    <w:rPr>
                      <w:rFonts w:ascii="Calibri" w:hAnsi="Calibri" w:cs="Calibri"/>
                      <w:b/>
                      <w:bCs/>
                      <w:color w:val="000000"/>
                    </w:rPr>
                    <w:t> </w:t>
                  </w:r>
                </w:p>
              </w:tc>
            </w:tr>
            <w:tr w:rsidR="000E6991" w:rsidRPr="000E6991" w14:paraId="5EA8DFC7" w14:textId="77777777" w:rsidTr="000E6991">
              <w:trPr>
                <w:trHeight w:val="405"/>
              </w:trPr>
              <w:tc>
                <w:tcPr>
                  <w:tcW w:w="2552" w:type="dxa"/>
                  <w:tcBorders>
                    <w:top w:val="nil"/>
                    <w:left w:val="single" w:sz="8" w:space="0" w:color="auto"/>
                    <w:bottom w:val="nil"/>
                    <w:right w:val="single" w:sz="8" w:space="0" w:color="auto"/>
                  </w:tcBorders>
                  <w:shd w:val="clear" w:color="auto" w:fill="auto"/>
                  <w:vAlign w:val="center"/>
                  <w:hideMark/>
                </w:tcPr>
                <w:p w14:paraId="1AFCB1D1" w14:textId="77777777" w:rsidR="000E6991" w:rsidRPr="000E6991" w:rsidRDefault="000E6991" w:rsidP="000E6991">
                  <w:pPr>
                    <w:spacing w:after="0" w:line="240" w:lineRule="auto"/>
                    <w:rPr>
                      <w:rFonts w:ascii="Times New Roman" w:eastAsia="Times New Roman" w:hAnsi="Times New Roman" w:cs="Times New Roman"/>
                      <w:color w:val="000000"/>
                      <w:sz w:val="20"/>
                      <w:szCs w:val="20"/>
                      <w:lang w:eastAsia="uk-UA"/>
                    </w:rPr>
                  </w:pPr>
                  <w:r w:rsidRPr="000E6991">
                    <w:rPr>
                      <w:rFonts w:ascii="Times New Roman" w:eastAsia="Times New Roman" w:hAnsi="Times New Roman" w:cs="Times New Roman"/>
                      <w:color w:val="000000"/>
                      <w:sz w:val="20"/>
                      <w:szCs w:val="20"/>
                      <w:lang w:eastAsia="uk-UA"/>
                    </w:rPr>
                    <w:t>І клас напруги</w:t>
                  </w:r>
                </w:p>
              </w:tc>
              <w:tc>
                <w:tcPr>
                  <w:tcW w:w="1328" w:type="dxa"/>
                  <w:tcBorders>
                    <w:top w:val="nil"/>
                    <w:left w:val="single" w:sz="8" w:space="0" w:color="auto"/>
                    <w:bottom w:val="nil"/>
                    <w:right w:val="single" w:sz="8" w:space="0" w:color="auto"/>
                  </w:tcBorders>
                  <w:shd w:val="clear" w:color="auto" w:fill="auto"/>
                  <w:vAlign w:val="center"/>
                  <w:hideMark/>
                </w:tcPr>
                <w:p w14:paraId="6B3E64FB" w14:textId="0E599862"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5,334700</w:t>
                  </w:r>
                </w:p>
              </w:tc>
              <w:tc>
                <w:tcPr>
                  <w:tcW w:w="1328" w:type="dxa"/>
                  <w:tcBorders>
                    <w:top w:val="nil"/>
                    <w:left w:val="nil"/>
                    <w:bottom w:val="nil"/>
                    <w:right w:val="single" w:sz="8" w:space="0" w:color="auto"/>
                  </w:tcBorders>
                  <w:shd w:val="clear" w:color="auto" w:fill="auto"/>
                  <w:vAlign w:val="center"/>
                  <w:hideMark/>
                </w:tcPr>
                <w:p w14:paraId="53B4EB04" w14:textId="56172201" w:rsidR="000E6991" w:rsidRPr="000E6991" w:rsidRDefault="000E6991" w:rsidP="000E6991">
                  <w:pPr>
                    <w:spacing w:after="0" w:line="240" w:lineRule="auto"/>
                    <w:jc w:val="center"/>
                    <w:rPr>
                      <w:rFonts w:ascii="Calibri" w:eastAsia="Times New Roman" w:hAnsi="Calibri" w:cs="Calibri"/>
                      <w:b/>
                      <w:bCs/>
                      <w:color w:val="000000"/>
                      <w:lang w:eastAsia="uk-UA"/>
                    </w:rPr>
                  </w:pPr>
                  <w:r w:rsidRPr="000E6991">
                    <w:rPr>
                      <w:rFonts w:ascii="Calibri" w:hAnsi="Calibri" w:cs="Calibri"/>
                      <w:b/>
                      <w:bCs/>
                      <w:color w:val="000000"/>
                    </w:rPr>
                    <w:t>6,401640</w:t>
                  </w:r>
                </w:p>
              </w:tc>
            </w:tr>
            <w:tr w:rsidR="000E6991" w:rsidRPr="000E6991" w14:paraId="74BB9958" w14:textId="77777777" w:rsidTr="000E6991">
              <w:trPr>
                <w:trHeight w:val="33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0F9DC1A4" w14:textId="77777777" w:rsidR="000E6991" w:rsidRPr="000E6991" w:rsidRDefault="000E6991" w:rsidP="000E6991">
                  <w:pPr>
                    <w:spacing w:after="0" w:line="240" w:lineRule="auto"/>
                    <w:rPr>
                      <w:rFonts w:ascii="Times New Roman" w:eastAsia="Times New Roman" w:hAnsi="Times New Roman" w:cs="Times New Roman"/>
                      <w:color w:val="000000"/>
                      <w:sz w:val="20"/>
                      <w:szCs w:val="20"/>
                      <w:lang w:eastAsia="uk-UA"/>
                    </w:rPr>
                  </w:pPr>
                  <w:r w:rsidRPr="000E6991">
                    <w:rPr>
                      <w:rFonts w:ascii="Times New Roman" w:eastAsia="Times New Roman" w:hAnsi="Times New Roman" w:cs="Times New Roman"/>
                      <w:color w:val="000000"/>
                      <w:sz w:val="20"/>
                      <w:szCs w:val="20"/>
                      <w:lang w:eastAsia="uk-UA"/>
                    </w:rPr>
                    <w:t>ІІ клас напруги</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321A7D15" w14:textId="6B21DFBF"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7,060420</w:t>
                  </w:r>
                </w:p>
              </w:tc>
              <w:tc>
                <w:tcPr>
                  <w:tcW w:w="1328" w:type="dxa"/>
                  <w:tcBorders>
                    <w:top w:val="nil"/>
                    <w:left w:val="nil"/>
                    <w:bottom w:val="nil"/>
                    <w:right w:val="single" w:sz="8" w:space="0" w:color="auto"/>
                  </w:tcBorders>
                  <w:shd w:val="clear" w:color="auto" w:fill="auto"/>
                  <w:vAlign w:val="center"/>
                  <w:hideMark/>
                </w:tcPr>
                <w:p w14:paraId="3D3D5390" w14:textId="21ED0818" w:rsidR="000E6991" w:rsidRPr="000E6991" w:rsidRDefault="000E6991" w:rsidP="000E6991">
                  <w:pPr>
                    <w:spacing w:after="0" w:line="240" w:lineRule="auto"/>
                    <w:jc w:val="center"/>
                    <w:rPr>
                      <w:rFonts w:ascii="Calibri" w:eastAsia="Times New Roman" w:hAnsi="Calibri" w:cs="Calibri"/>
                      <w:b/>
                      <w:bCs/>
                      <w:color w:val="000000"/>
                      <w:lang w:eastAsia="uk-UA"/>
                    </w:rPr>
                  </w:pPr>
                  <w:r w:rsidRPr="000E6991">
                    <w:rPr>
                      <w:rFonts w:ascii="Calibri" w:hAnsi="Calibri" w:cs="Calibri"/>
                      <w:b/>
                      <w:bCs/>
                      <w:color w:val="000000"/>
                    </w:rPr>
                    <w:t>8,472504</w:t>
                  </w:r>
                </w:p>
              </w:tc>
            </w:tr>
            <w:tr w:rsidR="000E6991" w:rsidRPr="000E6991" w14:paraId="1697B4FC" w14:textId="77777777" w:rsidTr="000E6991">
              <w:trPr>
                <w:trHeight w:val="330"/>
              </w:trPr>
              <w:tc>
                <w:tcPr>
                  <w:tcW w:w="2552" w:type="dxa"/>
                  <w:tcBorders>
                    <w:top w:val="nil"/>
                    <w:left w:val="single" w:sz="8" w:space="0" w:color="auto"/>
                    <w:bottom w:val="nil"/>
                    <w:right w:val="single" w:sz="8" w:space="0" w:color="auto"/>
                  </w:tcBorders>
                  <w:shd w:val="clear" w:color="auto" w:fill="auto"/>
                  <w:vAlign w:val="center"/>
                  <w:hideMark/>
                </w:tcPr>
                <w:p w14:paraId="5BF6C399" w14:textId="77777777" w:rsidR="000E6991" w:rsidRPr="000E6991" w:rsidRDefault="000E6991" w:rsidP="000E6991">
                  <w:pPr>
                    <w:spacing w:after="0" w:line="240" w:lineRule="auto"/>
                    <w:rPr>
                      <w:rFonts w:ascii="Times New Roman" w:eastAsia="Times New Roman" w:hAnsi="Times New Roman" w:cs="Times New Roman"/>
                      <w:b/>
                      <w:bCs/>
                      <w:color w:val="000000"/>
                      <w:sz w:val="20"/>
                      <w:szCs w:val="20"/>
                      <w:lang w:eastAsia="uk-UA"/>
                    </w:rPr>
                  </w:pPr>
                  <w:r w:rsidRPr="000E6991">
                    <w:rPr>
                      <w:rFonts w:ascii="Times New Roman" w:eastAsia="Times New Roman" w:hAnsi="Times New Roman" w:cs="Times New Roman"/>
                      <w:b/>
                      <w:bCs/>
                      <w:color w:val="000000"/>
                      <w:sz w:val="20"/>
                      <w:szCs w:val="20"/>
                      <w:lang w:eastAsia="uk-UA"/>
                    </w:rPr>
                    <w:t>ОСР АТ «</w:t>
                  </w:r>
                  <w:proofErr w:type="spellStart"/>
                  <w:r w:rsidRPr="000E6991">
                    <w:rPr>
                      <w:rFonts w:ascii="Times New Roman" w:eastAsia="Times New Roman" w:hAnsi="Times New Roman" w:cs="Times New Roman"/>
                      <w:b/>
                      <w:bCs/>
                      <w:color w:val="000000"/>
                      <w:sz w:val="20"/>
                      <w:szCs w:val="20"/>
                      <w:lang w:eastAsia="uk-UA"/>
                    </w:rPr>
                    <w:t>Чернівціобленерго</w:t>
                  </w:r>
                  <w:proofErr w:type="spellEnd"/>
                  <w:r w:rsidRPr="000E6991">
                    <w:rPr>
                      <w:rFonts w:ascii="Times New Roman" w:eastAsia="Times New Roman" w:hAnsi="Times New Roman" w:cs="Times New Roman"/>
                      <w:b/>
                      <w:bCs/>
                      <w:color w:val="000000"/>
                      <w:sz w:val="20"/>
                      <w:szCs w:val="20"/>
                      <w:lang w:eastAsia="uk-UA"/>
                    </w:rPr>
                    <w:t xml:space="preserve"> » </w:t>
                  </w:r>
                </w:p>
              </w:tc>
              <w:tc>
                <w:tcPr>
                  <w:tcW w:w="1328" w:type="dxa"/>
                  <w:tcBorders>
                    <w:top w:val="nil"/>
                    <w:left w:val="single" w:sz="8" w:space="0" w:color="auto"/>
                    <w:bottom w:val="nil"/>
                    <w:right w:val="single" w:sz="8" w:space="0" w:color="auto"/>
                  </w:tcBorders>
                  <w:shd w:val="clear" w:color="auto" w:fill="auto"/>
                  <w:vAlign w:val="center"/>
                  <w:hideMark/>
                </w:tcPr>
                <w:p w14:paraId="24BA9D86" w14:textId="78A6AD2A"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 </w:t>
                  </w:r>
                </w:p>
              </w:tc>
              <w:tc>
                <w:tcPr>
                  <w:tcW w:w="1328" w:type="dxa"/>
                  <w:tcBorders>
                    <w:top w:val="single" w:sz="8" w:space="0" w:color="auto"/>
                    <w:left w:val="nil"/>
                    <w:bottom w:val="nil"/>
                    <w:right w:val="single" w:sz="8" w:space="0" w:color="auto"/>
                  </w:tcBorders>
                  <w:shd w:val="clear" w:color="auto" w:fill="auto"/>
                  <w:vAlign w:val="center"/>
                  <w:hideMark/>
                </w:tcPr>
                <w:p w14:paraId="2639E876" w14:textId="2918FD35"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 </w:t>
                  </w:r>
                </w:p>
              </w:tc>
            </w:tr>
            <w:tr w:rsidR="000E6991" w:rsidRPr="000E6991" w14:paraId="7BE73EF0" w14:textId="77777777" w:rsidTr="000E6991">
              <w:trPr>
                <w:trHeight w:val="465"/>
              </w:trPr>
              <w:tc>
                <w:tcPr>
                  <w:tcW w:w="2552" w:type="dxa"/>
                  <w:tcBorders>
                    <w:top w:val="nil"/>
                    <w:left w:val="single" w:sz="8" w:space="0" w:color="auto"/>
                    <w:bottom w:val="nil"/>
                    <w:right w:val="single" w:sz="8" w:space="0" w:color="auto"/>
                  </w:tcBorders>
                  <w:shd w:val="clear" w:color="auto" w:fill="auto"/>
                  <w:vAlign w:val="center"/>
                  <w:hideMark/>
                </w:tcPr>
                <w:p w14:paraId="5506F146" w14:textId="77777777" w:rsidR="000E6991" w:rsidRPr="000E6991" w:rsidRDefault="000E6991" w:rsidP="000E6991">
                  <w:pPr>
                    <w:spacing w:after="0" w:line="240" w:lineRule="auto"/>
                    <w:rPr>
                      <w:rFonts w:ascii="Times New Roman" w:eastAsia="Times New Roman" w:hAnsi="Times New Roman" w:cs="Times New Roman"/>
                      <w:color w:val="000000"/>
                      <w:sz w:val="20"/>
                      <w:szCs w:val="20"/>
                      <w:lang w:eastAsia="uk-UA"/>
                    </w:rPr>
                  </w:pPr>
                  <w:r w:rsidRPr="000E6991">
                    <w:rPr>
                      <w:rFonts w:ascii="Times New Roman" w:eastAsia="Times New Roman" w:hAnsi="Times New Roman" w:cs="Times New Roman"/>
                      <w:color w:val="000000"/>
                      <w:sz w:val="20"/>
                      <w:szCs w:val="20"/>
                      <w:lang w:eastAsia="uk-UA"/>
                    </w:rPr>
                    <w:t xml:space="preserve"> І клас напруги</w:t>
                  </w:r>
                </w:p>
              </w:tc>
              <w:tc>
                <w:tcPr>
                  <w:tcW w:w="1328" w:type="dxa"/>
                  <w:tcBorders>
                    <w:top w:val="nil"/>
                    <w:left w:val="single" w:sz="8" w:space="0" w:color="auto"/>
                    <w:bottom w:val="nil"/>
                    <w:right w:val="single" w:sz="8" w:space="0" w:color="auto"/>
                  </w:tcBorders>
                  <w:shd w:val="clear" w:color="auto" w:fill="auto"/>
                  <w:vAlign w:val="center"/>
                  <w:hideMark/>
                </w:tcPr>
                <w:p w14:paraId="06630072" w14:textId="7D792451"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5,122180</w:t>
                  </w:r>
                </w:p>
              </w:tc>
              <w:tc>
                <w:tcPr>
                  <w:tcW w:w="1328" w:type="dxa"/>
                  <w:tcBorders>
                    <w:top w:val="nil"/>
                    <w:left w:val="nil"/>
                    <w:bottom w:val="nil"/>
                    <w:right w:val="single" w:sz="8" w:space="0" w:color="auto"/>
                  </w:tcBorders>
                  <w:shd w:val="clear" w:color="auto" w:fill="auto"/>
                  <w:vAlign w:val="center"/>
                  <w:hideMark/>
                </w:tcPr>
                <w:p w14:paraId="1F14CC1D" w14:textId="7CEADB83"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6,146616</w:t>
                  </w:r>
                </w:p>
              </w:tc>
            </w:tr>
            <w:tr w:rsidR="000E6991" w:rsidRPr="000E6991" w14:paraId="7F497CEE" w14:textId="77777777" w:rsidTr="000E6991">
              <w:trPr>
                <w:trHeight w:val="33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7166652F" w14:textId="77777777" w:rsidR="000E6991" w:rsidRPr="000E6991" w:rsidRDefault="000E6991" w:rsidP="000E6991">
                  <w:pPr>
                    <w:spacing w:after="0" w:line="240" w:lineRule="auto"/>
                    <w:rPr>
                      <w:rFonts w:ascii="Times New Roman" w:eastAsia="Times New Roman" w:hAnsi="Times New Roman" w:cs="Times New Roman"/>
                      <w:color w:val="000000"/>
                      <w:sz w:val="20"/>
                      <w:szCs w:val="20"/>
                      <w:lang w:eastAsia="uk-UA"/>
                    </w:rPr>
                  </w:pPr>
                  <w:r w:rsidRPr="000E6991">
                    <w:rPr>
                      <w:rFonts w:ascii="Times New Roman" w:eastAsia="Times New Roman" w:hAnsi="Times New Roman" w:cs="Times New Roman"/>
                      <w:color w:val="000000"/>
                      <w:sz w:val="20"/>
                      <w:szCs w:val="20"/>
                      <w:lang w:eastAsia="uk-UA"/>
                    </w:rPr>
                    <w:t>ІІ клас напруги</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0044C0C7" w14:textId="2A7F5364"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6,396560</w:t>
                  </w:r>
                </w:p>
              </w:tc>
              <w:tc>
                <w:tcPr>
                  <w:tcW w:w="1328" w:type="dxa"/>
                  <w:tcBorders>
                    <w:top w:val="nil"/>
                    <w:left w:val="nil"/>
                    <w:bottom w:val="nil"/>
                    <w:right w:val="single" w:sz="8" w:space="0" w:color="auto"/>
                  </w:tcBorders>
                  <w:shd w:val="clear" w:color="auto" w:fill="auto"/>
                  <w:vAlign w:val="center"/>
                  <w:hideMark/>
                </w:tcPr>
                <w:p w14:paraId="68A439C7" w14:textId="5C848238"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7,675872</w:t>
                  </w:r>
                </w:p>
              </w:tc>
            </w:tr>
            <w:tr w:rsidR="000E6991" w:rsidRPr="000E6991" w14:paraId="792BF82C" w14:textId="77777777" w:rsidTr="000E6991">
              <w:trPr>
                <w:trHeight w:val="330"/>
              </w:trPr>
              <w:tc>
                <w:tcPr>
                  <w:tcW w:w="2552" w:type="dxa"/>
                  <w:tcBorders>
                    <w:top w:val="nil"/>
                    <w:left w:val="single" w:sz="8" w:space="0" w:color="auto"/>
                    <w:bottom w:val="nil"/>
                    <w:right w:val="single" w:sz="8" w:space="0" w:color="auto"/>
                  </w:tcBorders>
                  <w:shd w:val="clear" w:color="auto" w:fill="auto"/>
                  <w:vAlign w:val="center"/>
                  <w:hideMark/>
                </w:tcPr>
                <w:p w14:paraId="414AA56E" w14:textId="77777777" w:rsidR="000E6991" w:rsidRPr="000E6991" w:rsidRDefault="000E6991" w:rsidP="000E6991">
                  <w:pPr>
                    <w:spacing w:after="0" w:line="240" w:lineRule="auto"/>
                    <w:rPr>
                      <w:rFonts w:ascii="Times New Roman" w:eastAsia="Times New Roman" w:hAnsi="Times New Roman" w:cs="Times New Roman"/>
                      <w:b/>
                      <w:bCs/>
                      <w:color w:val="000000"/>
                      <w:sz w:val="20"/>
                      <w:szCs w:val="20"/>
                      <w:lang w:eastAsia="uk-UA"/>
                    </w:rPr>
                  </w:pPr>
                  <w:r w:rsidRPr="000E6991">
                    <w:rPr>
                      <w:rFonts w:ascii="Times New Roman" w:eastAsia="Times New Roman" w:hAnsi="Times New Roman" w:cs="Times New Roman"/>
                      <w:b/>
                      <w:bCs/>
                      <w:color w:val="000000"/>
                      <w:sz w:val="20"/>
                      <w:szCs w:val="20"/>
                      <w:lang w:eastAsia="uk-UA"/>
                    </w:rPr>
                    <w:t>ОСР АТ «</w:t>
                  </w:r>
                  <w:proofErr w:type="spellStart"/>
                  <w:r w:rsidRPr="000E6991">
                    <w:rPr>
                      <w:rFonts w:ascii="Times New Roman" w:eastAsia="Times New Roman" w:hAnsi="Times New Roman" w:cs="Times New Roman"/>
                      <w:b/>
                      <w:bCs/>
                      <w:color w:val="000000"/>
                      <w:sz w:val="20"/>
                      <w:szCs w:val="20"/>
                      <w:lang w:eastAsia="uk-UA"/>
                    </w:rPr>
                    <w:t>Львівобленерго</w:t>
                  </w:r>
                  <w:proofErr w:type="spellEnd"/>
                  <w:r w:rsidRPr="000E6991">
                    <w:rPr>
                      <w:rFonts w:ascii="Times New Roman" w:eastAsia="Times New Roman" w:hAnsi="Times New Roman" w:cs="Times New Roman"/>
                      <w:b/>
                      <w:bCs/>
                      <w:color w:val="000000"/>
                      <w:sz w:val="20"/>
                      <w:szCs w:val="20"/>
                      <w:lang w:eastAsia="uk-UA"/>
                    </w:rPr>
                    <w:t>»</w:t>
                  </w:r>
                </w:p>
              </w:tc>
              <w:tc>
                <w:tcPr>
                  <w:tcW w:w="1328" w:type="dxa"/>
                  <w:tcBorders>
                    <w:top w:val="nil"/>
                    <w:left w:val="single" w:sz="8" w:space="0" w:color="auto"/>
                    <w:bottom w:val="nil"/>
                    <w:right w:val="single" w:sz="8" w:space="0" w:color="auto"/>
                  </w:tcBorders>
                  <w:shd w:val="clear" w:color="auto" w:fill="auto"/>
                  <w:vAlign w:val="center"/>
                  <w:hideMark/>
                </w:tcPr>
                <w:p w14:paraId="67B9473F" w14:textId="138700C3"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 </w:t>
                  </w:r>
                </w:p>
              </w:tc>
              <w:tc>
                <w:tcPr>
                  <w:tcW w:w="1328" w:type="dxa"/>
                  <w:tcBorders>
                    <w:top w:val="single" w:sz="8" w:space="0" w:color="auto"/>
                    <w:left w:val="nil"/>
                    <w:bottom w:val="nil"/>
                    <w:right w:val="single" w:sz="8" w:space="0" w:color="auto"/>
                  </w:tcBorders>
                  <w:shd w:val="clear" w:color="auto" w:fill="auto"/>
                  <w:vAlign w:val="center"/>
                  <w:hideMark/>
                </w:tcPr>
                <w:p w14:paraId="49EF375E" w14:textId="313B3E08" w:rsidR="000E6991" w:rsidRPr="000E6991" w:rsidRDefault="000E6991" w:rsidP="000E6991">
                  <w:pPr>
                    <w:spacing w:after="0" w:line="240" w:lineRule="auto"/>
                    <w:jc w:val="center"/>
                    <w:rPr>
                      <w:rFonts w:ascii="Calibri" w:eastAsia="Times New Roman" w:hAnsi="Calibri" w:cs="Calibri"/>
                      <w:b/>
                      <w:bCs/>
                      <w:color w:val="000000"/>
                      <w:lang w:eastAsia="uk-UA"/>
                    </w:rPr>
                  </w:pPr>
                  <w:r w:rsidRPr="000E6991">
                    <w:rPr>
                      <w:rFonts w:ascii="Calibri" w:hAnsi="Calibri" w:cs="Calibri"/>
                      <w:b/>
                      <w:bCs/>
                      <w:color w:val="000000"/>
                    </w:rPr>
                    <w:t> </w:t>
                  </w:r>
                </w:p>
              </w:tc>
            </w:tr>
            <w:tr w:rsidR="000E6991" w:rsidRPr="000E6991" w14:paraId="39FBD720" w14:textId="77777777" w:rsidTr="000E6991">
              <w:trPr>
                <w:trHeight w:val="450"/>
              </w:trPr>
              <w:tc>
                <w:tcPr>
                  <w:tcW w:w="2552" w:type="dxa"/>
                  <w:tcBorders>
                    <w:top w:val="nil"/>
                    <w:left w:val="single" w:sz="8" w:space="0" w:color="auto"/>
                    <w:bottom w:val="nil"/>
                    <w:right w:val="single" w:sz="8" w:space="0" w:color="auto"/>
                  </w:tcBorders>
                  <w:shd w:val="clear" w:color="auto" w:fill="auto"/>
                  <w:vAlign w:val="center"/>
                  <w:hideMark/>
                </w:tcPr>
                <w:p w14:paraId="26DCA6D3" w14:textId="77777777" w:rsidR="000E6991" w:rsidRPr="000E6991" w:rsidRDefault="000E6991" w:rsidP="000E6991">
                  <w:pPr>
                    <w:spacing w:after="0" w:line="240" w:lineRule="auto"/>
                    <w:rPr>
                      <w:rFonts w:ascii="Times New Roman" w:eastAsia="Times New Roman" w:hAnsi="Times New Roman" w:cs="Times New Roman"/>
                      <w:color w:val="000000"/>
                      <w:sz w:val="20"/>
                      <w:szCs w:val="20"/>
                      <w:lang w:eastAsia="uk-UA"/>
                    </w:rPr>
                  </w:pPr>
                  <w:r w:rsidRPr="000E6991">
                    <w:rPr>
                      <w:rFonts w:ascii="Times New Roman" w:eastAsia="Times New Roman" w:hAnsi="Times New Roman" w:cs="Times New Roman"/>
                      <w:color w:val="000000"/>
                      <w:sz w:val="20"/>
                      <w:szCs w:val="20"/>
                      <w:lang w:eastAsia="uk-UA"/>
                    </w:rPr>
                    <w:t>І клас напруги</w:t>
                  </w:r>
                </w:p>
              </w:tc>
              <w:tc>
                <w:tcPr>
                  <w:tcW w:w="1328" w:type="dxa"/>
                  <w:tcBorders>
                    <w:top w:val="nil"/>
                    <w:left w:val="single" w:sz="8" w:space="0" w:color="auto"/>
                    <w:bottom w:val="nil"/>
                    <w:right w:val="single" w:sz="8" w:space="0" w:color="auto"/>
                  </w:tcBorders>
                  <w:shd w:val="clear" w:color="auto" w:fill="auto"/>
                  <w:vAlign w:val="center"/>
                  <w:hideMark/>
                </w:tcPr>
                <w:p w14:paraId="79F8A36C" w14:textId="29C8CCE8"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5,246120</w:t>
                  </w:r>
                </w:p>
              </w:tc>
              <w:tc>
                <w:tcPr>
                  <w:tcW w:w="1328" w:type="dxa"/>
                  <w:tcBorders>
                    <w:top w:val="nil"/>
                    <w:left w:val="nil"/>
                    <w:bottom w:val="nil"/>
                    <w:right w:val="single" w:sz="8" w:space="0" w:color="auto"/>
                  </w:tcBorders>
                  <w:shd w:val="clear" w:color="auto" w:fill="auto"/>
                  <w:vAlign w:val="center"/>
                  <w:hideMark/>
                </w:tcPr>
                <w:p w14:paraId="52A25DF8" w14:textId="4D021559" w:rsidR="000E6991" w:rsidRPr="000E6991" w:rsidRDefault="000E6991" w:rsidP="000E6991">
                  <w:pPr>
                    <w:spacing w:after="0" w:line="240" w:lineRule="auto"/>
                    <w:jc w:val="center"/>
                    <w:rPr>
                      <w:rFonts w:ascii="Calibri" w:eastAsia="Times New Roman" w:hAnsi="Calibri" w:cs="Calibri"/>
                      <w:b/>
                      <w:bCs/>
                      <w:color w:val="000000"/>
                      <w:lang w:eastAsia="uk-UA"/>
                    </w:rPr>
                  </w:pPr>
                  <w:r w:rsidRPr="000E6991">
                    <w:rPr>
                      <w:rFonts w:ascii="Calibri" w:hAnsi="Calibri" w:cs="Calibri"/>
                      <w:b/>
                      <w:bCs/>
                      <w:color w:val="000000"/>
                    </w:rPr>
                    <w:t>6,295344</w:t>
                  </w:r>
                </w:p>
              </w:tc>
            </w:tr>
            <w:tr w:rsidR="000E6991" w:rsidRPr="00AE27BB" w14:paraId="492D3101" w14:textId="77777777" w:rsidTr="000E6991">
              <w:trPr>
                <w:trHeight w:val="855"/>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0D78ACE9" w14:textId="77777777" w:rsidR="000E6991" w:rsidRPr="000E6991" w:rsidRDefault="000E6991" w:rsidP="000E6991">
                  <w:pPr>
                    <w:spacing w:after="0" w:line="240" w:lineRule="auto"/>
                    <w:rPr>
                      <w:rFonts w:ascii="Times New Roman" w:eastAsia="Times New Roman" w:hAnsi="Times New Roman" w:cs="Times New Roman"/>
                      <w:color w:val="000000"/>
                      <w:sz w:val="20"/>
                      <w:szCs w:val="20"/>
                      <w:lang w:eastAsia="uk-UA"/>
                    </w:rPr>
                  </w:pPr>
                  <w:r w:rsidRPr="000E6991">
                    <w:rPr>
                      <w:rFonts w:ascii="Times New Roman" w:eastAsia="Times New Roman" w:hAnsi="Times New Roman" w:cs="Times New Roman"/>
                      <w:color w:val="000000"/>
                      <w:sz w:val="20"/>
                      <w:szCs w:val="20"/>
                      <w:lang w:eastAsia="uk-UA"/>
                    </w:rPr>
                    <w:t>ІІ клас напруги</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698E28A7" w14:textId="039502BE" w:rsidR="000E6991" w:rsidRPr="000E6991" w:rsidRDefault="000E6991" w:rsidP="000E6991">
                  <w:pPr>
                    <w:spacing w:after="0" w:line="240" w:lineRule="auto"/>
                    <w:jc w:val="center"/>
                    <w:rPr>
                      <w:rFonts w:ascii="Times New Roman" w:eastAsia="Times New Roman" w:hAnsi="Times New Roman" w:cs="Times New Roman"/>
                      <w:b/>
                      <w:bCs/>
                      <w:color w:val="000000"/>
                      <w:sz w:val="20"/>
                      <w:szCs w:val="20"/>
                      <w:lang w:eastAsia="uk-UA"/>
                    </w:rPr>
                  </w:pPr>
                  <w:r w:rsidRPr="000E6991">
                    <w:rPr>
                      <w:b/>
                      <w:bCs/>
                      <w:color w:val="000000"/>
                      <w:sz w:val="20"/>
                      <w:szCs w:val="20"/>
                    </w:rPr>
                    <w:t>6,565400</w:t>
                  </w:r>
                </w:p>
              </w:tc>
              <w:tc>
                <w:tcPr>
                  <w:tcW w:w="1328" w:type="dxa"/>
                  <w:tcBorders>
                    <w:top w:val="nil"/>
                    <w:left w:val="nil"/>
                    <w:bottom w:val="single" w:sz="8" w:space="0" w:color="auto"/>
                    <w:right w:val="single" w:sz="8" w:space="0" w:color="auto"/>
                  </w:tcBorders>
                  <w:shd w:val="clear" w:color="auto" w:fill="auto"/>
                  <w:vAlign w:val="center"/>
                  <w:hideMark/>
                </w:tcPr>
                <w:p w14:paraId="0DBA8FD9" w14:textId="68A4F0AF" w:rsidR="000E6991" w:rsidRPr="000E6991" w:rsidRDefault="000E6991" w:rsidP="000E6991">
                  <w:pPr>
                    <w:spacing w:after="0" w:line="240" w:lineRule="auto"/>
                    <w:jc w:val="center"/>
                    <w:rPr>
                      <w:rFonts w:ascii="Calibri" w:eastAsia="Times New Roman" w:hAnsi="Calibri" w:cs="Calibri"/>
                      <w:b/>
                      <w:bCs/>
                      <w:color w:val="000000"/>
                      <w:lang w:eastAsia="uk-UA"/>
                    </w:rPr>
                  </w:pPr>
                  <w:r w:rsidRPr="000E6991">
                    <w:rPr>
                      <w:rFonts w:ascii="Calibri" w:hAnsi="Calibri" w:cs="Calibri"/>
                      <w:b/>
                      <w:bCs/>
                      <w:color w:val="000000"/>
                    </w:rPr>
                    <w:t>7,878480</w:t>
                  </w:r>
                </w:p>
              </w:tc>
            </w:tr>
          </w:tbl>
          <w:p w14:paraId="3ACD004A" w14:textId="22D63828"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Ціна може змінюватися у зв’язку із змінами складових витрат, які впливають на її формування. У разі зміни ціни за одиницю товару Сторони здійснюють розрахунки за новими цінами з дня їх введення в дію.</w:t>
            </w:r>
          </w:p>
          <w:p w14:paraId="6590DE23"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Ціни на універсальні послуги доступні на офіційному сайті Постачальника в мережі Інтернет за  </w:t>
            </w:r>
            <w:proofErr w:type="spellStart"/>
            <w:r w:rsidRPr="00CC1ADD">
              <w:rPr>
                <w:rFonts w:ascii="Times New Roman" w:eastAsia="Times New Roman" w:hAnsi="Times New Roman" w:cs="Times New Roman"/>
                <w:color w:val="000000" w:themeColor="text1"/>
                <w:sz w:val="21"/>
                <w:szCs w:val="21"/>
                <w:lang w:eastAsia="uk-UA"/>
              </w:rPr>
              <w:t>адресою</w:t>
            </w:r>
            <w:proofErr w:type="spellEnd"/>
            <w:r w:rsidRPr="00CC1ADD">
              <w:rPr>
                <w:rFonts w:ascii="Times New Roman" w:eastAsia="Times New Roman" w:hAnsi="Times New Roman" w:cs="Times New Roman"/>
                <w:color w:val="000000" w:themeColor="text1"/>
                <w:sz w:val="21"/>
                <w:szCs w:val="21"/>
                <w:lang w:eastAsia="uk-UA"/>
              </w:rPr>
              <w:t>: https://pret.com.ua/tariff?hard_tag_meta=for_company</w:t>
            </w:r>
          </w:p>
        </w:tc>
      </w:tr>
      <w:tr w:rsidR="00F47BC8" w:rsidRPr="00CC1ADD" w14:paraId="4ABA87A3"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92A8E3D"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lastRenderedPageBreak/>
              <w:t>2. Розрахунковий період</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C52ACC3" w14:textId="77A380AE"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2.1. </w:t>
            </w:r>
            <w:r w:rsidR="00F47BC8" w:rsidRPr="00CC1ADD">
              <w:rPr>
                <w:rFonts w:ascii="Times New Roman" w:eastAsia="Times New Roman" w:hAnsi="Times New Roman" w:cs="Times New Roman"/>
                <w:color w:val="000000" w:themeColor="text1"/>
                <w:sz w:val="21"/>
                <w:szCs w:val="21"/>
                <w:lang w:eastAsia="uk-UA"/>
              </w:rPr>
              <w:t>Календарний місяць (розрахунковим періодом вважається період, який починається з 1 числа поточного місяця та закінчується в останній календарний день місяця).</w:t>
            </w:r>
          </w:p>
        </w:tc>
      </w:tr>
      <w:tr w:rsidR="00F47BC8" w:rsidRPr="00CC1ADD" w14:paraId="3FBE97F0" w14:textId="77777777" w:rsidTr="0061017D">
        <w:trPr>
          <w:gridAfter w:val="1"/>
          <w:wAfter w:w="13" w:type="dxa"/>
          <w:trHeight w:val="1739"/>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0F24709"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3. Спосіб оплати за послуги розподілу, передачі електричної енергії</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99C27C5"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3.1. Споживач сплачує за послуги з розподілу та передачі через Постачальника з наступним переведенням цієї оплати операторам системи.</w:t>
            </w:r>
          </w:p>
          <w:p w14:paraId="16AE8204"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3.2. Зміна регульованих тарифів на послугу з розподілу оператору систем розподілу, передачі оператору систем передачі та постачання на послуги постачальника універсальних послуг у встановленому законодавством порядку, є підставою для зміни Постачальником ціни цього Договору в односторонньому порядку.</w:t>
            </w:r>
          </w:p>
        </w:tc>
      </w:tr>
      <w:tr w:rsidR="00F47BC8" w:rsidRPr="00CC1ADD" w14:paraId="2246FB1B"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DD7ACC7"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4. Спосіб та терміни оплати</w:t>
            </w:r>
          </w:p>
          <w:p w14:paraId="260C18EC"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tcPr>
          <w:p w14:paraId="3924EC47" w14:textId="77777777" w:rsidR="0053009B" w:rsidRPr="00CC1ADD" w:rsidRDefault="0053009B" w:rsidP="005300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4.1 Оплата за електричну енергію здійснюється Споживачем у формі попередньої оплати у розмірі 100% та визначається  відповідно до даних щодо обсягу електричної енергії, отриманих від постачальника послуг комерційного обліку, функції якого виконує оператор системи розподілу.</w:t>
            </w:r>
          </w:p>
          <w:p w14:paraId="1FE58B8C" w14:textId="77777777" w:rsidR="002D7A9B" w:rsidRPr="00CC1ADD" w:rsidRDefault="0061017D" w:rsidP="005300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lastRenderedPageBreak/>
              <w:t>Термін оплати рахунків – 5 робочих днів від дати отримання рахунка, але не пізніше дня початку розрахункового періоду.</w:t>
            </w:r>
          </w:p>
          <w:p w14:paraId="588931C3" w14:textId="63DDF215" w:rsidR="003828A6" w:rsidRPr="00CC1ADD" w:rsidRDefault="00F47BC8" w:rsidP="00F47BC8">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Розрахунки за електричну енергію проводяться споживачем у грошовій формі на зазначений поточний рахунок із спеціальним режимом використання Постачальника, який зазначено у рахунку.</w:t>
            </w:r>
          </w:p>
        </w:tc>
      </w:tr>
      <w:tr w:rsidR="00F47BC8" w:rsidRPr="00CC1ADD" w14:paraId="45C00B4D" w14:textId="77777777" w:rsidTr="008732D5">
        <w:trPr>
          <w:gridAfter w:val="1"/>
          <w:wAfter w:w="13" w:type="dxa"/>
          <w:trHeight w:val="798"/>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81BF88D" w14:textId="77777777" w:rsidR="002D7A9B" w:rsidRPr="00CC1ADD" w:rsidRDefault="005300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lastRenderedPageBreak/>
              <w:t>5</w:t>
            </w:r>
            <w:r w:rsidR="002D7A9B" w:rsidRPr="00CC1ADD">
              <w:rPr>
                <w:rFonts w:ascii="Times New Roman" w:eastAsia="Times New Roman" w:hAnsi="Times New Roman" w:cs="Times New Roman"/>
                <w:color w:val="000000" w:themeColor="text1"/>
                <w:sz w:val="21"/>
                <w:szCs w:val="21"/>
                <w:lang w:eastAsia="uk-UA"/>
              </w:rPr>
              <w:t>. Термін виставлення рахунку за електричну енергію</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98713AA" w14:textId="3B25E8E3" w:rsidR="002D7A9B" w:rsidRPr="00CC1ADD" w:rsidRDefault="005300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w:t>
            </w:r>
            <w:r w:rsidR="00BC305A" w:rsidRPr="00CC1ADD">
              <w:rPr>
                <w:rFonts w:ascii="Times New Roman" w:eastAsia="Times New Roman" w:hAnsi="Times New Roman" w:cs="Times New Roman"/>
                <w:color w:val="000000" w:themeColor="text1"/>
                <w:sz w:val="21"/>
                <w:szCs w:val="21"/>
                <w:lang w:eastAsia="uk-UA"/>
              </w:rPr>
              <w:t>.1</w:t>
            </w:r>
            <w:r w:rsidR="002D7A9B" w:rsidRPr="00CC1ADD">
              <w:rPr>
                <w:rFonts w:ascii="Times New Roman" w:eastAsia="Times New Roman" w:hAnsi="Times New Roman" w:cs="Times New Roman"/>
                <w:color w:val="000000" w:themeColor="text1"/>
                <w:sz w:val="21"/>
                <w:szCs w:val="21"/>
                <w:lang w:eastAsia="uk-UA"/>
              </w:rPr>
              <w:t>. Документи (далі - Документи), а саме: акти, рахунки, повідомлення про припинення постачання електроенергії, акти зв</w:t>
            </w:r>
            <w:r w:rsidR="00BC305A" w:rsidRPr="00CC1ADD">
              <w:rPr>
                <w:rFonts w:ascii="Times New Roman" w:eastAsia="Times New Roman" w:hAnsi="Times New Roman" w:cs="Times New Roman"/>
                <w:color w:val="000000" w:themeColor="text1"/>
                <w:sz w:val="21"/>
                <w:szCs w:val="21"/>
                <w:lang w:eastAsia="uk-UA"/>
              </w:rPr>
              <w:t>ірки та інші повідомлення</w:t>
            </w:r>
            <w:r w:rsidR="002D7A9B" w:rsidRPr="00CC1ADD">
              <w:rPr>
                <w:rFonts w:ascii="Times New Roman" w:eastAsia="Times New Roman" w:hAnsi="Times New Roman" w:cs="Times New Roman"/>
                <w:color w:val="000000" w:themeColor="text1"/>
                <w:sz w:val="21"/>
                <w:szCs w:val="21"/>
                <w:lang w:eastAsia="uk-UA"/>
              </w:rPr>
              <w:t>,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визнаються Сторонами як офіційні.</w:t>
            </w:r>
          </w:p>
          <w:p w14:paraId="2C3EA132" w14:textId="4137A94D"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5.2. Здійснення розрахунків за електричну енергію – система онлайн-розрахунків «Персональний кабінет» на </w:t>
            </w:r>
            <w:proofErr w:type="spellStart"/>
            <w:r w:rsidRPr="00CC1ADD">
              <w:rPr>
                <w:rFonts w:ascii="Times New Roman" w:eastAsia="Times New Roman" w:hAnsi="Times New Roman" w:cs="Times New Roman"/>
                <w:color w:val="000000" w:themeColor="text1"/>
                <w:sz w:val="21"/>
                <w:szCs w:val="21"/>
                <w:lang w:eastAsia="uk-UA"/>
              </w:rPr>
              <w:t>web</w:t>
            </w:r>
            <w:proofErr w:type="spellEnd"/>
            <w:r w:rsidRPr="00CC1ADD">
              <w:rPr>
                <w:rFonts w:ascii="Times New Roman" w:eastAsia="Times New Roman" w:hAnsi="Times New Roman" w:cs="Times New Roman"/>
                <w:color w:val="000000" w:themeColor="text1"/>
                <w:sz w:val="21"/>
                <w:szCs w:val="21"/>
                <w:lang w:eastAsia="uk-UA"/>
              </w:rPr>
              <w:t>-сайті Постачальника (далі – Персональний кабінет). Для реєстрації у Персональному кабінеті Споживач використовує такі дані:</w:t>
            </w:r>
          </w:p>
          <w:p w14:paraId="79BABE12" w14:textId="22AB36A8"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5.2.1. ім’я та прізвище відповідальної особи _____________________________________________________________;</w:t>
            </w:r>
          </w:p>
          <w:p w14:paraId="0C1AC09D" w14:textId="7DB862F5"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5.2.2. контактний номер мобільного телефону_____________________________________________________;</w:t>
            </w:r>
          </w:p>
          <w:p w14:paraId="1C0BA907" w14:textId="5DEAD426" w:rsidR="00BC305A" w:rsidRPr="00CC1ADD" w:rsidRDefault="00BC305A"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5.2.3. електронна пошта______________@___________.</w:t>
            </w:r>
          </w:p>
          <w:p w14:paraId="44F55C7A" w14:textId="77777777" w:rsidR="002D7A9B" w:rsidRPr="00CC1ADD" w:rsidRDefault="005300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w:t>
            </w:r>
            <w:r w:rsidR="00BC305A" w:rsidRPr="00CC1ADD">
              <w:rPr>
                <w:rFonts w:ascii="Times New Roman" w:eastAsia="Times New Roman" w:hAnsi="Times New Roman" w:cs="Times New Roman"/>
                <w:color w:val="000000" w:themeColor="text1"/>
                <w:sz w:val="21"/>
                <w:szCs w:val="21"/>
                <w:lang w:eastAsia="uk-UA"/>
              </w:rPr>
              <w:t>.3</w:t>
            </w:r>
            <w:r w:rsidR="002D7A9B" w:rsidRPr="00CC1ADD">
              <w:rPr>
                <w:rFonts w:ascii="Times New Roman" w:eastAsia="Times New Roman" w:hAnsi="Times New Roman" w:cs="Times New Roman"/>
                <w:color w:val="000000" w:themeColor="text1"/>
                <w:sz w:val="21"/>
                <w:szCs w:val="21"/>
                <w:lang w:eastAsia="uk-UA"/>
              </w:rPr>
              <w:t>. Всі інформаційні повідомлення Постачальник направляє на електронну пошту Споживача та/або номер мобільного телефону споживача (вказані у цьому Договорі)/розміщує у Персональному кабінеті.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p w14:paraId="3DB35FB4" w14:textId="0F9A86E6"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5.4. Платіжні документи (рахунки) на оплату також можуть надаватися  Постачальником споживачу:</w:t>
            </w:r>
          </w:p>
          <w:p w14:paraId="5D9FC948" w14:textId="0D92EFAF"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у відповідному Центрі обслуговування користувачів;</w:t>
            </w:r>
          </w:p>
          <w:p w14:paraId="55F9ACD1" w14:textId="77777777"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факсимільним зв’язком;</w:t>
            </w:r>
          </w:p>
          <w:p w14:paraId="6667A9B6" w14:textId="77777777"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 - поштовим зв’язком;</w:t>
            </w:r>
          </w:p>
          <w:p w14:paraId="31E69884" w14:textId="77777777"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 - кур’єром;</w:t>
            </w:r>
          </w:p>
          <w:p w14:paraId="7675BAEB" w14:textId="77777777"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 - мобільним додатком Постачальника;       </w:t>
            </w:r>
          </w:p>
          <w:p w14:paraId="600BF4ED" w14:textId="1D90C7B4"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lastRenderedPageBreak/>
              <w:t xml:space="preserve">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tc>
      </w:tr>
      <w:tr w:rsidR="00235726" w:rsidRPr="00CC1ADD" w14:paraId="2983EEC9"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37E75B1" w14:textId="3CFFC59A"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lastRenderedPageBreak/>
              <w:t>6</w:t>
            </w:r>
            <w:r w:rsidR="00235726" w:rsidRPr="00CC1ADD">
              <w:rPr>
                <w:rFonts w:ascii="Times New Roman" w:eastAsia="Times New Roman" w:hAnsi="Times New Roman" w:cs="Times New Roman"/>
                <w:color w:val="000000" w:themeColor="text1"/>
                <w:sz w:val="21"/>
                <w:szCs w:val="21"/>
                <w:lang w:eastAsia="uk-UA"/>
              </w:rPr>
              <w:t>. Розмір пені/штрафу за порушення термінів оплати</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575F6A5" w14:textId="01694E08" w:rsidR="00235726" w:rsidRPr="008732D5" w:rsidRDefault="008A120A" w:rsidP="00235726">
            <w:pPr>
              <w:spacing w:before="100" w:beforeAutospacing="1" w:after="360" w:line="240" w:lineRule="auto"/>
              <w:rPr>
                <w:rFonts w:ascii="Times New Roman" w:eastAsia="Times New Roman" w:hAnsi="Times New Roman" w:cs="Times New Roman"/>
                <w:color w:val="000000" w:themeColor="text1"/>
                <w:lang w:eastAsia="uk-UA"/>
              </w:rPr>
            </w:pPr>
            <w:r>
              <w:rPr>
                <w:rFonts w:ascii="Times New Roman" w:hAnsi="Times New Roman" w:cs="Times New Roman"/>
                <w:color w:val="000000" w:themeColor="text1"/>
                <w:sz w:val="21"/>
                <w:szCs w:val="21"/>
                <w:lang w:eastAsia="uk-UA"/>
              </w:rPr>
              <w:t>6</w:t>
            </w:r>
            <w:r w:rsidR="008B7F85" w:rsidRPr="008732D5">
              <w:rPr>
                <w:rFonts w:ascii="Times New Roman" w:hAnsi="Times New Roman" w:cs="Times New Roman"/>
                <w:color w:val="000000" w:themeColor="text1"/>
                <w:sz w:val="21"/>
                <w:szCs w:val="21"/>
                <w:lang w:eastAsia="uk-UA"/>
              </w:rPr>
              <w:t>.1.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не враховуючи день фактичної оплати, що діяла в періоді, за який вона сплачується, 3 % річних та інфляційні збитки. Ця сума зазначається у розрахунковому документі окремим рядком. та оплачується  на поточний  рахунок Постачальника.</w:t>
            </w:r>
          </w:p>
        </w:tc>
      </w:tr>
      <w:tr w:rsidR="00235726" w:rsidRPr="00CC1ADD" w14:paraId="7C4D5C75" w14:textId="77777777" w:rsidTr="00101C65">
        <w:trPr>
          <w:gridAfter w:val="1"/>
          <w:wAfter w:w="13" w:type="dxa"/>
          <w:trHeight w:val="514"/>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56C5C80" w14:textId="0A5CBB1E"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7</w:t>
            </w:r>
            <w:r w:rsidR="00235726" w:rsidRPr="00CC1ADD">
              <w:rPr>
                <w:rFonts w:ascii="Times New Roman" w:eastAsia="Times New Roman" w:hAnsi="Times New Roman" w:cs="Times New Roman"/>
                <w:color w:val="000000" w:themeColor="text1"/>
                <w:sz w:val="21"/>
                <w:szCs w:val="21"/>
                <w:lang w:eastAsia="uk-UA"/>
              </w:rPr>
              <w:t>. Термін дії договору та умови пролонгації</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F328437" w14:textId="1A624009" w:rsidR="00235726" w:rsidRPr="00CC1ADD" w:rsidRDefault="008A120A" w:rsidP="00235726">
            <w:pPr>
              <w:pStyle w:val="a7"/>
              <w:jc w:val="both"/>
              <w:rPr>
                <w:rFonts w:ascii="Times New Roman" w:hAnsi="Times New Roman" w:cs="Times New Roman"/>
                <w:color w:val="000000" w:themeColor="text1"/>
                <w:sz w:val="21"/>
                <w:szCs w:val="21"/>
                <w:lang w:eastAsia="uk-UA"/>
              </w:rPr>
            </w:pPr>
            <w:r>
              <w:rPr>
                <w:rFonts w:ascii="Times New Roman" w:hAnsi="Times New Roman" w:cs="Times New Roman"/>
                <w:color w:val="000000" w:themeColor="text1"/>
                <w:sz w:val="21"/>
                <w:szCs w:val="21"/>
                <w:lang w:eastAsia="uk-UA"/>
              </w:rPr>
              <w:t>7</w:t>
            </w:r>
            <w:r w:rsidR="00235726" w:rsidRPr="00CC1ADD">
              <w:rPr>
                <w:rFonts w:ascii="Times New Roman" w:hAnsi="Times New Roman" w:cs="Times New Roman"/>
                <w:color w:val="000000" w:themeColor="text1"/>
                <w:sz w:val="21"/>
                <w:szCs w:val="21"/>
                <w:lang w:eastAsia="uk-UA"/>
              </w:rPr>
              <w:t>.1 У разі приєднання об’єктів потужністю не більше 50 кВт договір діє з дати приєднання до договору про постачання електричної енергії постачальником універсальних послуг до дати припинення</w:t>
            </w:r>
            <w:r w:rsidR="00235726" w:rsidRPr="00CC1ADD">
              <w:rPr>
                <w:rFonts w:ascii="Times New Roman" w:hAnsi="Times New Roman" w:cs="Times New Roman"/>
                <w:b/>
                <w:color w:val="000000" w:themeColor="text1"/>
                <w:sz w:val="21"/>
                <w:szCs w:val="21"/>
                <w:lang w:eastAsia="uk-UA"/>
              </w:rPr>
              <w:t xml:space="preserve"> </w:t>
            </w:r>
            <w:r w:rsidR="00235726" w:rsidRPr="00CC1ADD">
              <w:rPr>
                <w:rFonts w:ascii="Times New Roman" w:hAnsi="Times New Roman" w:cs="Times New Roman"/>
                <w:color w:val="000000" w:themeColor="text1"/>
                <w:sz w:val="21"/>
                <w:szCs w:val="21"/>
                <w:lang w:eastAsia="uk-UA"/>
              </w:rPr>
              <w:t>використання</w:t>
            </w:r>
            <w:r w:rsidR="00235726" w:rsidRPr="00CC1ADD">
              <w:rPr>
                <w:rFonts w:ascii="Times New Roman" w:hAnsi="Times New Roman" w:cs="Times New Roman"/>
                <w:b/>
                <w:color w:val="000000" w:themeColor="text1"/>
                <w:sz w:val="21"/>
                <w:szCs w:val="21"/>
                <w:lang w:eastAsia="uk-UA"/>
              </w:rPr>
              <w:t xml:space="preserve"> </w:t>
            </w:r>
            <w:r w:rsidR="00235726" w:rsidRPr="00CC1ADD">
              <w:rPr>
                <w:rFonts w:ascii="Times New Roman" w:hAnsi="Times New Roman" w:cs="Times New Roman"/>
                <w:color w:val="000000" w:themeColor="text1"/>
                <w:sz w:val="21"/>
                <w:szCs w:val="21"/>
                <w:lang w:eastAsia="uk-UA"/>
              </w:rPr>
              <w:t>без засобів обліку електричної енергії, але не більше</w:t>
            </w:r>
            <w:r w:rsidR="00235726" w:rsidRPr="00CC1ADD">
              <w:rPr>
                <w:rFonts w:ascii="Times New Roman" w:hAnsi="Times New Roman" w:cs="Times New Roman"/>
                <w:b/>
                <w:color w:val="000000" w:themeColor="text1"/>
                <w:sz w:val="21"/>
                <w:szCs w:val="21"/>
                <w:lang w:eastAsia="uk-UA"/>
              </w:rPr>
              <w:t xml:space="preserve">  30 діб</w:t>
            </w:r>
            <w:r w:rsidR="00235726" w:rsidRPr="00CC1ADD">
              <w:rPr>
                <w:rFonts w:ascii="Times New Roman" w:hAnsi="Times New Roman" w:cs="Times New Roman"/>
                <w:color w:val="000000" w:themeColor="text1"/>
                <w:sz w:val="21"/>
                <w:szCs w:val="21"/>
                <w:lang w:eastAsia="uk-UA"/>
              </w:rPr>
              <w:t>.</w:t>
            </w:r>
          </w:p>
          <w:p w14:paraId="000736E8" w14:textId="00E961AE" w:rsidR="00235726" w:rsidRPr="00CC1ADD" w:rsidRDefault="00235726" w:rsidP="00235726">
            <w:pPr>
              <w:pStyle w:val="a7"/>
              <w:jc w:val="both"/>
              <w:rPr>
                <w:rFonts w:ascii="Times New Roman" w:hAnsi="Times New Roman" w:cs="Times New Roman"/>
                <w:color w:val="000000" w:themeColor="text1"/>
                <w:sz w:val="21"/>
                <w:szCs w:val="21"/>
                <w:lang w:eastAsia="uk-UA"/>
              </w:rPr>
            </w:pPr>
            <w:r w:rsidRPr="00CC1ADD">
              <w:rPr>
                <w:rFonts w:ascii="Times New Roman" w:hAnsi="Times New Roman" w:cs="Times New Roman"/>
                <w:color w:val="000000" w:themeColor="text1"/>
                <w:sz w:val="21"/>
                <w:szCs w:val="21"/>
                <w:lang w:eastAsia="uk-UA"/>
              </w:rPr>
              <w:t xml:space="preserve">Договір вважається продовженим на такий же строк на умовах Комерційної пропозиції №4.1 «Універсальна» для малих непобутових споживачів (попередня оплата) для </w:t>
            </w:r>
            <w:proofErr w:type="spellStart"/>
            <w:r w:rsidRPr="00CC1ADD">
              <w:rPr>
                <w:rFonts w:ascii="Times New Roman" w:hAnsi="Times New Roman" w:cs="Times New Roman"/>
                <w:color w:val="000000" w:themeColor="text1"/>
                <w:sz w:val="21"/>
                <w:szCs w:val="21"/>
                <w:lang w:eastAsia="uk-UA"/>
              </w:rPr>
              <w:t>безоблікового</w:t>
            </w:r>
            <w:proofErr w:type="spellEnd"/>
            <w:r w:rsidRPr="00CC1ADD">
              <w:rPr>
                <w:rFonts w:ascii="Times New Roman" w:hAnsi="Times New Roman" w:cs="Times New Roman"/>
                <w:color w:val="000000" w:themeColor="text1"/>
                <w:sz w:val="21"/>
                <w:szCs w:val="21"/>
                <w:lang w:eastAsia="uk-UA"/>
              </w:rPr>
              <w:t xml:space="preserve"> споживання, якщо не пізніше ніж за 2 робочі дні до закінчення строку дії договору споживач звернувся до </w:t>
            </w:r>
            <w:proofErr w:type="spellStart"/>
            <w:r w:rsidRPr="00CC1ADD">
              <w:rPr>
                <w:rFonts w:ascii="Times New Roman" w:hAnsi="Times New Roman" w:cs="Times New Roman"/>
                <w:color w:val="000000" w:themeColor="text1"/>
                <w:sz w:val="21"/>
                <w:szCs w:val="21"/>
                <w:lang w:eastAsia="uk-UA"/>
              </w:rPr>
              <w:t>електропостачальника</w:t>
            </w:r>
            <w:proofErr w:type="spellEnd"/>
            <w:r w:rsidRPr="00CC1ADD">
              <w:rPr>
                <w:rFonts w:ascii="Times New Roman" w:hAnsi="Times New Roman" w:cs="Times New Roman"/>
                <w:color w:val="000000" w:themeColor="text1"/>
                <w:sz w:val="21"/>
                <w:szCs w:val="21"/>
                <w:lang w:eastAsia="uk-UA"/>
              </w:rPr>
              <w:t xml:space="preserve"> з відповідною заявою за умови продовження терміну дії  Договору </w:t>
            </w:r>
            <w:r w:rsidRPr="00CC1ADD">
              <w:rPr>
                <w:rFonts w:ascii="Times New Roman" w:hAnsi="Times New Roman" w:cs="Times New Roman"/>
                <w:color w:val="000000" w:themeColor="text1"/>
                <w:sz w:val="21"/>
                <w:szCs w:val="21"/>
                <w:shd w:val="clear" w:color="auto" w:fill="FFFFFF"/>
              </w:rPr>
              <w:t>споживача про надання послуг з розподілу/передачі електричної енергії</w:t>
            </w:r>
            <w:r w:rsidRPr="00CC1ADD">
              <w:rPr>
                <w:rFonts w:ascii="Times New Roman" w:hAnsi="Times New Roman" w:cs="Times New Roman"/>
                <w:color w:val="000000" w:themeColor="text1"/>
                <w:sz w:val="21"/>
                <w:szCs w:val="21"/>
                <w:lang w:eastAsia="uk-UA"/>
              </w:rPr>
              <w:t xml:space="preserve"> . Строк дії Договору може бути продовжено один раз.</w:t>
            </w:r>
          </w:p>
          <w:p w14:paraId="2FD21EC0" w14:textId="058CCBC5" w:rsidR="00235726" w:rsidRPr="00CC1ADD" w:rsidRDefault="008A120A" w:rsidP="00235726">
            <w:pPr>
              <w:pStyle w:val="a7"/>
              <w:jc w:val="both"/>
              <w:rPr>
                <w:rFonts w:ascii="Times New Roman" w:hAnsi="Times New Roman" w:cs="Times New Roman"/>
                <w:color w:val="000000" w:themeColor="text1"/>
                <w:sz w:val="21"/>
                <w:szCs w:val="21"/>
                <w:lang w:eastAsia="uk-UA"/>
              </w:rPr>
            </w:pPr>
            <w:r>
              <w:rPr>
                <w:rFonts w:ascii="Times New Roman" w:hAnsi="Times New Roman" w:cs="Times New Roman"/>
                <w:color w:val="000000" w:themeColor="text1"/>
                <w:sz w:val="21"/>
                <w:szCs w:val="21"/>
                <w:lang w:eastAsia="uk-UA"/>
              </w:rPr>
              <w:t>7</w:t>
            </w:r>
            <w:r w:rsidR="00235726" w:rsidRPr="00CC1ADD">
              <w:rPr>
                <w:rFonts w:ascii="Times New Roman" w:hAnsi="Times New Roman" w:cs="Times New Roman"/>
                <w:color w:val="000000" w:themeColor="text1"/>
                <w:sz w:val="21"/>
                <w:szCs w:val="21"/>
                <w:lang w:eastAsia="uk-UA"/>
              </w:rPr>
              <w:t>.2 У разі приєднання об’єктів потужністю не більше 0,1 кВт договір діє з дати приєднання до договору про постачання електричної енергії постачальником універсальних послуг до дати припинення використання без засобів обліку електричної енергії, але не більше  1 року .</w:t>
            </w:r>
          </w:p>
          <w:p w14:paraId="2AF275A2" w14:textId="7CFCEACE" w:rsidR="00235726" w:rsidRPr="00CC1ADD" w:rsidRDefault="00235726" w:rsidP="00235726">
            <w:pPr>
              <w:pStyle w:val="a7"/>
              <w:jc w:val="both"/>
              <w:rPr>
                <w:rFonts w:ascii="Times New Roman" w:hAnsi="Times New Roman" w:cs="Times New Roman"/>
                <w:color w:val="000000" w:themeColor="text1"/>
                <w:sz w:val="21"/>
                <w:szCs w:val="21"/>
                <w:lang w:eastAsia="uk-UA"/>
              </w:rPr>
            </w:pPr>
            <w:r w:rsidRPr="00CC1ADD">
              <w:rPr>
                <w:rFonts w:ascii="Times New Roman" w:hAnsi="Times New Roman" w:cs="Times New Roman"/>
                <w:color w:val="000000" w:themeColor="text1"/>
                <w:sz w:val="21"/>
                <w:szCs w:val="21"/>
                <w:lang w:eastAsia="uk-UA"/>
              </w:rPr>
              <w:t xml:space="preserve">Договір вважається продовженим на такий же строк на умовах Комерційної пропозиції №4.1 «Універсальна» для малих непобутових споживачів (попередня оплата) для </w:t>
            </w:r>
            <w:proofErr w:type="spellStart"/>
            <w:r w:rsidRPr="00CC1ADD">
              <w:rPr>
                <w:rFonts w:ascii="Times New Roman" w:hAnsi="Times New Roman" w:cs="Times New Roman"/>
                <w:color w:val="000000" w:themeColor="text1"/>
                <w:sz w:val="21"/>
                <w:szCs w:val="21"/>
                <w:lang w:eastAsia="uk-UA"/>
              </w:rPr>
              <w:t>безоблікового</w:t>
            </w:r>
            <w:proofErr w:type="spellEnd"/>
            <w:r w:rsidRPr="00CC1ADD">
              <w:rPr>
                <w:rFonts w:ascii="Times New Roman" w:hAnsi="Times New Roman" w:cs="Times New Roman"/>
                <w:color w:val="000000" w:themeColor="text1"/>
                <w:sz w:val="21"/>
                <w:szCs w:val="21"/>
                <w:lang w:eastAsia="uk-UA"/>
              </w:rPr>
              <w:t xml:space="preserve"> споживання, якщо не пізніше ніж за 2 робочі дні до закінчення строку дії договору споживач звернувся до </w:t>
            </w:r>
            <w:proofErr w:type="spellStart"/>
            <w:r w:rsidRPr="00CC1ADD">
              <w:rPr>
                <w:rFonts w:ascii="Times New Roman" w:hAnsi="Times New Roman" w:cs="Times New Roman"/>
                <w:color w:val="000000" w:themeColor="text1"/>
                <w:sz w:val="21"/>
                <w:szCs w:val="21"/>
                <w:lang w:eastAsia="uk-UA"/>
              </w:rPr>
              <w:t>електропостачальника</w:t>
            </w:r>
            <w:proofErr w:type="spellEnd"/>
            <w:r w:rsidRPr="00CC1ADD">
              <w:rPr>
                <w:rFonts w:ascii="Times New Roman" w:hAnsi="Times New Roman" w:cs="Times New Roman"/>
                <w:color w:val="000000" w:themeColor="text1"/>
                <w:sz w:val="21"/>
                <w:szCs w:val="21"/>
                <w:lang w:eastAsia="uk-UA"/>
              </w:rPr>
              <w:t xml:space="preserve"> з відповідною заявою за умови продовження терміну дії  Договору </w:t>
            </w:r>
            <w:r w:rsidRPr="00CC1ADD">
              <w:rPr>
                <w:rFonts w:ascii="Times New Roman" w:hAnsi="Times New Roman" w:cs="Times New Roman"/>
                <w:color w:val="000000" w:themeColor="text1"/>
                <w:sz w:val="21"/>
                <w:szCs w:val="21"/>
                <w:shd w:val="clear" w:color="auto" w:fill="FFFFFF"/>
              </w:rPr>
              <w:t>споживача про надання послуг з розподілу/передачі електричної енергії</w:t>
            </w:r>
            <w:r w:rsidRPr="00CC1ADD">
              <w:rPr>
                <w:rFonts w:ascii="Times New Roman" w:hAnsi="Times New Roman" w:cs="Times New Roman"/>
                <w:color w:val="000000" w:themeColor="text1"/>
                <w:sz w:val="21"/>
                <w:szCs w:val="21"/>
                <w:lang w:eastAsia="uk-UA"/>
              </w:rPr>
              <w:t xml:space="preserve"> . </w:t>
            </w:r>
          </w:p>
          <w:p w14:paraId="32978CB6" w14:textId="7FC7155B"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7</w:t>
            </w:r>
            <w:r w:rsidR="00235726" w:rsidRPr="00CC1ADD">
              <w:rPr>
                <w:rFonts w:ascii="Times New Roman" w:eastAsia="Times New Roman" w:hAnsi="Times New Roman" w:cs="Times New Roman"/>
                <w:color w:val="000000" w:themeColor="text1"/>
                <w:sz w:val="21"/>
                <w:szCs w:val="21"/>
                <w:lang w:eastAsia="uk-UA"/>
              </w:rPr>
              <w:t>.3. В частині зобов’язань сторін, що виникли під час дії договору – договір діє до повного їх виконання. При закінченні терміну дії договору  Споживач відключається від електромережі без попередження.</w:t>
            </w:r>
          </w:p>
          <w:p w14:paraId="7AFDF92E" w14:textId="5F22E2F7"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7</w:t>
            </w:r>
            <w:r w:rsidR="00235726" w:rsidRPr="00CC1ADD">
              <w:rPr>
                <w:rFonts w:ascii="Times New Roman" w:eastAsia="Times New Roman" w:hAnsi="Times New Roman" w:cs="Times New Roman"/>
                <w:color w:val="000000" w:themeColor="text1"/>
                <w:sz w:val="21"/>
                <w:szCs w:val="21"/>
                <w:lang w:eastAsia="uk-UA"/>
              </w:rPr>
              <w:t>.4.      Договір може бути розірвано за ініціативою будь-якої зі Сторін у порядку, визначеному законодавством України та цим Договором, але в будь – якому випадку Договір діє до повної оплати заборгованості по Договору, включаючи штрафні санкції.</w:t>
            </w:r>
          </w:p>
        </w:tc>
      </w:tr>
      <w:tr w:rsidR="00235726" w:rsidRPr="00CC1ADD" w14:paraId="2438BDD4" w14:textId="77777777" w:rsidTr="0061017D">
        <w:trPr>
          <w:gridAfter w:val="1"/>
          <w:wAfter w:w="13" w:type="dxa"/>
          <w:trHeight w:val="1002"/>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EE0F35C" w14:textId="79339531"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8</w:t>
            </w:r>
            <w:r w:rsidR="00235726" w:rsidRPr="00CC1ADD">
              <w:rPr>
                <w:rFonts w:ascii="Times New Roman" w:eastAsia="Times New Roman" w:hAnsi="Times New Roman" w:cs="Times New Roman"/>
                <w:color w:val="000000" w:themeColor="text1"/>
                <w:sz w:val="21"/>
                <w:szCs w:val="21"/>
                <w:lang w:eastAsia="uk-UA"/>
              </w:rPr>
              <w:t>. Компенсація за недотримання комерційної якості надання послуг</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6E4D7D4" w14:textId="60440A35"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8</w:t>
            </w:r>
            <w:r w:rsidR="00235726" w:rsidRPr="00CC1ADD">
              <w:rPr>
                <w:rFonts w:ascii="Times New Roman" w:eastAsia="Times New Roman" w:hAnsi="Times New Roman" w:cs="Times New Roman"/>
                <w:color w:val="000000" w:themeColor="text1"/>
                <w:sz w:val="21"/>
                <w:szCs w:val="21"/>
                <w:lang w:eastAsia="uk-UA"/>
              </w:rPr>
              <w:t>.1. Компенсація за недотримання постачальником комерційної якості надання послуг надається у порядку та розмірі, визначеному НКРЕКП.</w:t>
            </w:r>
          </w:p>
        </w:tc>
      </w:tr>
      <w:tr w:rsidR="00235726" w:rsidRPr="00CC1ADD" w14:paraId="796592BC"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FD73161" w14:textId="7F317967"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9</w:t>
            </w:r>
            <w:r w:rsidR="00235726" w:rsidRPr="00CC1ADD">
              <w:rPr>
                <w:rFonts w:ascii="Times New Roman" w:eastAsia="Times New Roman" w:hAnsi="Times New Roman" w:cs="Times New Roman"/>
                <w:color w:val="000000" w:themeColor="text1"/>
                <w:sz w:val="21"/>
                <w:szCs w:val="21"/>
                <w:lang w:eastAsia="uk-UA"/>
              </w:rPr>
              <w:t xml:space="preserve">. Статус платника податку </w:t>
            </w:r>
            <w:r w:rsidR="00235726" w:rsidRPr="00CC1ADD">
              <w:rPr>
                <w:rFonts w:ascii="Times New Roman" w:eastAsia="Times New Roman" w:hAnsi="Times New Roman" w:cs="Times New Roman"/>
                <w:color w:val="000000" w:themeColor="text1"/>
                <w:sz w:val="21"/>
                <w:szCs w:val="21"/>
                <w:lang w:eastAsia="uk-UA"/>
              </w:rPr>
              <w:lastRenderedPageBreak/>
              <w:t>на додану вартість.</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D8E1507" w14:textId="440152E6"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lastRenderedPageBreak/>
              <w:t>9</w:t>
            </w:r>
            <w:r w:rsidR="00235726" w:rsidRPr="00CC1ADD">
              <w:rPr>
                <w:rFonts w:ascii="Times New Roman" w:eastAsia="Times New Roman" w:hAnsi="Times New Roman" w:cs="Times New Roman"/>
                <w:color w:val="000000" w:themeColor="text1"/>
                <w:sz w:val="21"/>
                <w:szCs w:val="21"/>
                <w:lang w:eastAsia="uk-UA"/>
              </w:rPr>
              <w:t xml:space="preserve">.1 У разі  набуття  статусу платника податку на додану вартість, Споживач зобов`язаний  повідомити Постачальника протягом 30 днів, шляхом </w:t>
            </w:r>
            <w:r w:rsidR="00235726" w:rsidRPr="00CC1ADD">
              <w:rPr>
                <w:rFonts w:ascii="Times New Roman" w:eastAsia="Times New Roman" w:hAnsi="Times New Roman" w:cs="Times New Roman"/>
                <w:color w:val="000000" w:themeColor="text1"/>
                <w:sz w:val="21"/>
                <w:szCs w:val="21"/>
                <w:lang w:eastAsia="uk-UA"/>
              </w:rPr>
              <w:lastRenderedPageBreak/>
              <w:t xml:space="preserve">направлення  письмового повідомлення  та копії документів, що підтверджують статус платника податку (витяг з реєстру платників ПДВ/Свідоцтва платника ПДВ)  на юридичну адресу Постачальника, з одночасним направленням </w:t>
            </w:r>
            <w:proofErr w:type="spellStart"/>
            <w:r w:rsidR="00235726" w:rsidRPr="00CC1ADD">
              <w:rPr>
                <w:rFonts w:ascii="Times New Roman" w:eastAsia="Times New Roman" w:hAnsi="Times New Roman" w:cs="Times New Roman"/>
                <w:color w:val="000000" w:themeColor="text1"/>
                <w:sz w:val="21"/>
                <w:szCs w:val="21"/>
                <w:lang w:eastAsia="uk-UA"/>
              </w:rPr>
              <w:t>скан</w:t>
            </w:r>
            <w:proofErr w:type="spellEnd"/>
            <w:r w:rsidR="00235726" w:rsidRPr="00CC1ADD">
              <w:rPr>
                <w:rFonts w:ascii="Times New Roman" w:eastAsia="Times New Roman" w:hAnsi="Times New Roman" w:cs="Times New Roman"/>
                <w:color w:val="000000" w:themeColor="text1"/>
                <w:sz w:val="21"/>
                <w:szCs w:val="21"/>
                <w:lang w:eastAsia="uk-UA"/>
              </w:rPr>
              <w:t>-копій документів  на електронну адресу  </w:t>
            </w:r>
            <w:hyperlink r:id="rId8" w:history="1">
              <w:r w:rsidR="00235726" w:rsidRPr="00CC1ADD">
                <w:rPr>
                  <w:rStyle w:val="a6"/>
                </w:rPr>
                <w:t>info@pret.com.ua</w:t>
              </w:r>
            </w:hyperlink>
            <w:r w:rsidR="00235726" w:rsidRPr="00CC1ADD">
              <w:t xml:space="preserve">. </w:t>
            </w:r>
          </w:p>
          <w:p w14:paraId="1597BE20" w14:textId="657CD7D8"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У разі не повідомлення Споживачем Постачальника про набуття  статусу платника ПДВ, Споживач не має права вимагати реєстрації податкової накладної до дати надання документів, які підтверджують статус платника податку на додану вартість.</w:t>
            </w:r>
          </w:p>
        </w:tc>
      </w:tr>
      <w:tr w:rsidR="00235726" w:rsidRPr="00CC1ADD" w14:paraId="49D42A03"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8BB3094" w14:textId="0E757CE6"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lastRenderedPageBreak/>
              <w:t>1</w:t>
            </w:r>
            <w:r w:rsidR="008A120A">
              <w:rPr>
                <w:rFonts w:ascii="Times New Roman" w:eastAsia="Times New Roman" w:hAnsi="Times New Roman" w:cs="Times New Roman"/>
                <w:color w:val="000000" w:themeColor="text1"/>
                <w:sz w:val="21"/>
                <w:szCs w:val="21"/>
                <w:lang w:eastAsia="uk-UA"/>
              </w:rPr>
              <w:t>0</w:t>
            </w:r>
            <w:r w:rsidRPr="00CC1ADD">
              <w:rPr>
                <w:rFonts w:ascii="Times New Roman" w:eastAsia="Times New Roman" w:hAnsi="Times New Roman" w:cs="Times New Roman"/>
                <w:color w:val="000000" w:themeColor="text1"/>
                <w:sz w:val="21"/>
                <w:szCs w:val="21"/>
                <w:lang w:eastAsia="uk-UA"/>
              </w:rPr>
              <w:t>.Звіряння розрахунків</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0438863" w14:textId="0E66A448"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10</w:t>
            </w:r>
            <w:r w:rsidR="00235726" w:rsidRPr="00CC1ADD">
              <w:rPr>
                <w:rFonts w:ascii="Times New Roman" w:eastAsia="Times New Roman" w:hAnsi="Times New Roman" w:cs="Times New Roman"/>
                <w:color w:val="000000" w:themeColor="text1"/>
                <w:sz w:val="21"/>
                <w:szCs w:val="21"/>
                <w:lang w:eastAsia="uk-UA"/>
              </w:rPr>
              <w:t>.1. Звіряння фактичних розрахунків з підписанням відповідного акту проводиться за вимогою Сторін.</w:t>
            </w:r>
          </w:p>
        </w:tc>
      </w:tr>
      <w:tr w:rsidR="00235726" w:rsidRPr="00CC1ADD" w14:paraId="6224C3E5"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B5C8C14" w14:textId="6161DFF6"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1</w:t>
            </w:r>
            <w:r w:rsidRPr="00CC1ADD">
              <w:rPr>
                <w:rFonts w:ascii="Times New Roman" w:eastAsia="Times New Roman" w:hAnsi="Times New Roman" w:cs="Times New Roman"/>
                <w:color w:val="000000" w:themeColor="text1"/>
                <w:sz w:val="21"/>
                <w:szCs w:val="21"/>
                <w:lang w:eastAsia="uk-UA"/>
              </w:rPr>
              <w:t>. Територія здійснення ліцензованої діяльності</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876D70C" w14:textId="77E89C7B"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1</w:t>
            </w:r>
            <w:r w:rsidRPr="00CC1ADD">
              <w:rPr>
                <w:rFonts w:ascii="Times New Roman" w:eastAsia="Times New Roman" w:hAnsi="Times New Roman" w:cs="Times New Roman"/>
                <w:color w:val="000000" w:themeColor="text1"/>
                <w:sz w:val="21"/>
                <w:szCs w:val="21"/>
                <w:lang w:eastAsia="uk-UA"/>
              </w:rPr>
              <w:t>.1 На території Івано-Франківської області.</w:t>
            </w:r>
          </w:p>
        </w:tc>
      </w:tr>
      <w:tr w:rsidR="00235726" w:rsidRPr="00CC1ADD" w14:paraId="0F9920E6"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77C0E8B" w14:textId="62ED9409"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2</w:t>
            </w:r>
            <w:r w:rsidRPr="00CC1ADD">
              <w:rPr>
                <w:rFonts w:ascii="Times New Roman" w:eastAsia="Times New Roman" w:hAnsi="Times New Roman" w:cs="Times New Roman"/>
                <w:color w:val="000000" w:themeColor="text1"/>
                <w:sz w:val="21"/>
                <w:szCs w:val="21"/>
                <w:lang w:eastAsia="uk-UA"/>
              </w:rPr>
              <w:t>. Урахування пільг, субсидій</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46C8FB" w14:textId="41D896DF"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12</w:t>
            </w:r>
            <w:r w:rsidR="00235726" w:rsidRPr="00CC1ADD">
              <w:rPr>
                <w:rFonts w:ascii="Times New Roman" w:eastAsia="Times New Roman" w:hAnsi="Times New Roman" w:cs="Times New Roman"/>
                <w:color w:val="000000" w:themeColor="text1"/>
                <w:sz w:val="21"/>
                <w:szCs w:val="21"/>
                <w:lang w:eastAsia="uk-UA"/>
              </w:rPr>
              <w:t>.1 Відсутнє.</w:t>
            </w:r>
          </w:p>
        </w:tc>
      </w:tr>
      <w:tr w:rsidR="00235726" w:rsidRPr="00CC1ADD" w14:paraId="70CD5BC9"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08FD79F" w14:textId="5C41DDFB"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3</w:t>
            </w:r>
            <w:r w:rsidRPr="00CC1ADD">
              <w:rPr>
                <w:rFonts w:ascii="Times New Roman" w:eastAsia="Times New Roman" w:hAnsi="Times New Roman" w:cs="Times New Roman"/>
                <w:color w:val="000000" w:themeColor="text1"/>
                <w:sz w:val="21"/>
                <w:szCs w:val="21"/>
                <w:lang w:eastAsia="uk-UA"/>
              </w:rPr>
              <w:t>. Постачання захищеним споживачам</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94FADDA" w14:textId="6FFC10F8"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13</w:t>
            </w:r>
            <w:r w:rsidR="00235726" w:rsidRPr="00CC1ADD">
              <w:rPr>
                <w:rFonts w:ascii="Times New Roman" w:eastAsia="Times New Roman" w:hAnsi="Times New Roman" w:cs="Times New Roman"/>
                <w:color w:val="000000" w:themeColor="text1"/>
                <w:sz w:val="21"/>
                <w:szCs w:val="21"/>
                <w:lang w:eastAsia="uk-UA"/>
              </w:rPr>
              <w:t>.1 Відсутнє.</w:t>
            </w:r>
          </w:p>
        </w:tc>
      </w:tr>
      <w:tr w:rsidR="00235726" w:rsidRPr="00CC1ADD" w14:paraId="255AA1D9" w14:textId="77777777" w:rsidTr="0061017D">
        <w:trPr>
          <w:gridAfter w:val="1"/>
          <w:wAfter w:w="13" w:type="dxa"/>
          <w:trHeight w:val="736"/>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1472053" w14:textId="60662876"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4</w:t>
            </w:r>
            <w:r w:rsidRPr="00CC1ADD">
              <w:rPr>
                <w:rFonts w:ascii="Times New Roman" w:eastAsia="Times New Roman" w:hAnsi="Times New Roman" w:cs="Times New Roman"/>
                <w:color w:val="000000" w:themeColor="text1"/>
                <w:sz w:val="21"/>
                <w:szCs w:val="21"/>
                <w:lang w:eastAsia="uk-UA"/>
              </w:rPr>
              <w:t>. Розмір штрафу за дострокове розірвання Договору у випадках, не передбачених умовами Договору</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0AFDA67" w14:textId="7506B510"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4</w:t>
            </w:r>
            <w:r w:rsidRPr="00CC1ADD">
              <w:rPr>
                <w:rFonts w:ascii="Times New Roman" w:eastAsia="Times New Roman" w:hAnsi="Times New Roman" w:cs="Times New Roman"/>
                <w:color w:val="000000" w:themeColor="text1"/>
                <w:sz w:val="21"/>
                <w:szCs w:val="21"/>
                <w:lang w:eastAsia="uk-UA"/>
              </w:rPr>
              <w:t>.1 Відсутній.</w:t>
            </w:r>
          </w:p>
        </w:tc>
      </w:tr>
      <w:tr w:rsidR="00235726" w:rsidRPr="00F47BC8" w14:paraId="0EC9D321" w14:textId="77777777" w:rsidTr="0061017D">
        <w:trPr>
          <w:trHeight w:val="20"/>
        </w:trPr>
        <w:tc>
          <w:tcPr>
            <w:tcW w:w="9928" w:type="dxa"/>
            <w:gridSpan w:val="3"/>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0FFC233" w14:textId="1EDF4CD3" w:rsidR="00235726" w:rsidRPr="00F47BC8" w:rsidRDefault="00235726" w:rsidP="00D15B4F">
            <w:pPr>
              <w:spacing w:before="100" w:beforeAutospacing="1" w:after="360" w:line="240" w:lineRule="auto"/>
              <w:rPr>
                <w:rFonts w:ascii="Times New Roman" w:eastAsia="Times New Roman" w:hAnsi="Times New Roman" w:cs="Times New Roman"/>
                <w:color w:val="000000" w:themeColor="text1"/>
                <w:sz w:val="21"/>
                <w:szCs w:val="21"/>
                <w:lang w:eastAsia="uk-UA"/>
              </w:rPr>
            </w:pPr>
            <w:bookmarkStart w:id="0" w:name="_GoBack"/>
            <w:bookmarkEnd w:id="0"/>
            <w:r w:rsidRPr="00D15B4F">
              <w:rPr>
                <w:rFonts w:ascii="Times New Roman" w:eastAsia="Times New Roman" w:hAnsi="Times New Roman" w:cs="Times New Roman"/>
                <w:i/>
                <w:iCs/>
                <w:color w:val="000000" w:themeColor="text1"/>
                <w:sz w:val="21"/>
                <w:szCs w:val="21"/>
                <w:lang w:eastAsia="uk-UA"/>
              </w:rPr>
              <w:t xml:space="preserve">Ця комерційна пропозиція набуває чинності з </w:t>
            </w:r>
            <w:r w:rsidR="00D15B4F" w:rsidRPr="00D15B4F">
              <w:rPr>
                <w:rFonts w:ascii="Times New Roman" w:eastAsia="Times New Roman" w:hAnsi="Times New Roman" w:cs="Times New Roman"/>
                <w:i/>
                <w:iCs/>
                <w:color w:val="000000" w:themeColor="text1"/>
                <w:sz w:val="21"/>
                <w:szCs w:val="21"/>
                <w:lang w:eastAsia="uk-UA"/>
              </w:rPr>
              <w:t xml:space="preserve">01 липня </w:t>
            </w:r>
            <w:r w:rsidR="00AE27BB" w:rsidRPr="00D15B4F">
              <w:rPr>
                <w:rFonts w:ascii="Times New Roman" w:eastAsia="Times New Roman" w:hAnsi="Times New Roman" w:cs="Times New Roman"/>
                <w:i/>
                <w:iCs/>
                <w:color w:val="000000" w:themeColor="text1"/>
                <w:sz w:val="21"/>
                <w:szCs w:val="21"/>
                <w:lang w:eastAsia="uk-UA"/>
              </w:rPr>
              <w:t xml:space="preserve"> </w:t>
            </w:r>
            <w:r w:rsidRPr="00D15B4F">
              <w:rPr>
                <w:rFonts w:ascii="Times New Roman" w:eastAsia="Times New Roman" w:hAnsi="Times New Roman" w:cs="Times New Roman"/>
                <w:i/>
                <w:iCs/>
                <w:color w:val="000000" w:themeColor="text1"/>
                <w:sz w:val="21"/>
                <w:szCs w:val="21"/>
                <w:lang w:eastAsia="uk-UA"/>
              </w:rPr>
              <w:t>2024 року</w:t>
            </w:r>
          </w:p>
        </w:tc>
      </w:tr>
    </w:tbl>
    <w:p w14:paraId="6FB56018" w14:textId="7A0B802C" w:rsidR="002D7A9B" w:rsidRPr="00F47BC8"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p>
    <w:sectPr w:rsidR="002D7A9B" w:rsidRPr="00F47BC8" w:rsidSect="002F7305">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5B268" w14:textId="77777777" w:rsidR="0017315D" w:rsidRDefault="0017315D" w:rsidP="00BC561E">
      <w:pPr>
        <w:spacing w:after="0" w:line="240" w:lineRule="auto"/>
      </w:pPr>
      <w:r>
        <w:separator/>
      </w:r>
    </w:p>
  </w:endnote>
  <w:endnote w:type="continuationSeparator" w:id="0">
    <w:p w14:paraId="30EDA7C1" w14:textId="77777777" w:rsidR="0017315D" w:rsidRDefault="0017315D" w:rsidP="00BC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38F82" w14:textId="69AD01B2" w:rsidR="00BC561E" w:rsidRDefault="00BC561E">
    <w:pPr>
      <w:pStyle w:val="af2"/>
    </w:pPr>
  </w:p>
  <w:p w14:paraId="4D606AD6" w14:textId="77777777" w:rsidR="00BC561E" w:rsidRPr="00734B25" w:rsidRDefault="00BC561E" w:rsidP="00BC561E">
    <w:pPr>
      <w:pStyle w:val="af2"/>
      <w:rPr>
        <w:rFonts w:ascii="Times New Roman" w:hAnsi="Times New Roman" w:cs="Times New Roman"/>
        <w:b/>
      </w:rPr>
    </w:pPr>
    <w:r w:rsidRPr="00BC561E">
      <w:rPr>
        <w:rFonts w:ascii="Times New Roman" w:hAnsi="Times New Roman" w:cs="Times New Roman"/>
        <w:b/>
      </w:rPr>
      <w:t>Від Постачальника ___________________                          Від Споживача ____________________</w:t>
    </w:r>
  </w:p>
  <w:p w14:paraId="690FBCDC" w14:textId="77777777" w:rsidR="00BC561E" w:rsidRDefault="00BC561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EC9F9" w14:textId="77777777" w:rsidR="0017315D" w:rsidRDefault="0017315D" w:rsidP="00BC561E">
      <w:pPr>
        <w:spacing w:after="0" w:line="240" w:lineRule="auto"/>
      </w:pPr>
      <w:r>
        <w:separator/>
      </w:r>
    </w:p>
  </w:footnote>
  <w:footnote w:type="continuationSeparator" w:id="0">
    <w:p w14:paraId="261CD94D" w14:textId="77777777" w:rsidR="0017315D" w:rsidRDefault="0017315D" w:rsidP="00BC5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14AAD"/>
    <w:multiLevelType w:val="multilevel"/>
    <w:tmpl w:val="0346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B"/>
    <w:rsid w:val="000505C2"/>
    <w:rsid w:val="00070078"/>
    <w:rsid w:val="00096DC5"/>
    <w:rsid w:val="000B6864"/>
    <w:rsid w:val="000E6991"/>
    <w:rsid w:val="000F4C7A"/>
    <w:rsid w:val="00101C65"/>
    <w:rsid w:val="001307EE"/>
    <w:rsid w:val="00172D9F"/>
    <w:rsid w:val="0017315D"/>
    <w:rsid w:val="001A57AB"/>
    <w:rsid w:val="00235726"/>
    <w:rsid w:val="00237369"/>
    <w:rsid w:val="00244A73"/>
    <w:rsid w:val="002725C1"/>
    <w:rsid w:val="002D1BF5"/>
    <w:rsid w:val="002D7A9B"/>
    <w:rsid w:val="002F7305"/>
    <w:rsid w:val="00323A06"/>
    <w:rsid w:val="003828A6"/>
    <w:rsid w:val="003856E3"/>
    <w:rsid w:val="00386963"/>
    <w:rsid w:val="003904D2"/>
    <w:rsid w:val="003F2403"/>
    <w:rsid w:val="003F281B"/>
    <w:rsid w:val="004265FE"/>
    <w:rsid w:val="00455240"/>
    <w:rsid w:val="00456CC8"/>
    <w:rsid w:val="005070EC"/>
    <w:rsid w:val="00523473"/>
    <w:rsid w:val="0053009B"/>
    <w:rsid w:val="0053765D"/>
    <w:rsid w:val="005776BE"/>
    <w:rsid w:val="005843D8"/>
    <w:rsid w:val="005E3CC6"/>
    <w:rsid w:val="0061017D"/>
    <w:rsid w:val="00654C09"/>
    <w:rsid w:val="007027CB"/>
    <w:rsid w:val="0071104C"/>
    <w:rsid w:val="00717B81"/>
    <w:rsid w:val="00777D57"/>
    <w:rsid w:val="00792458"/>
    <w:rsid w:val="007F7686"/>
    <w:rsid w:val="00815CB7"/>
    <w:rsid w:val="008732D5"/>
    <w:rsid w:val="008A120A"/>
    <w:rsid w:val="008B05E4"/>
    <w:rsid w:val="008B205A"/>
    <w:rsid w:val="008B7F85"/>
    <w:rsid w:val="008E1E4B"/>
    <w:rsid w:val="009E7065"/>
    <w:rsid w:val="00A25DC9"/>
    <w:rsid w:val="00A35502"/>
    <w:rsid w:val="00A53302"/>
    <w:rsid w:val="00AA1BD6"/>
    <w:rsid w:val="00AB0D11"/>
    <w:rsid w:val="00AB516B"/>
    <w:rsid w:val="00AD017D"/>
    <w:rsid w:val="00AE27BB"/>
    <w:rsid w:val="00B16106"/>
    <w:rsid w:val="00B93A34"/>
    <w:rsid w:val="00BC305A"/>
    <w:rsid w:val="00BC561E"/>
    <w:rsid w:val="00BF2450"/>
    <w:rsid w:val="00C13E7C"/>
    <w:rsid w:val="00C5797F"/>
    <w:rsid w:val="00C84320"/>
    <w:rsid w:val="00CC1ADD"/>
    <w:rsid w:val="00CE639A"/>
    <w:rsid w:val="00D15B4F"/>
    <w:rsid w:val="00DF2118"/>
    <w:rsid w:val="00E11AAE"/>
    <w:rsid w:val="00E3783E"/>
    <w:rsid w:val="00E4311E"/>
    <w:rsid w:val="00E473D5"/>
    <w:rsid w:val="00E97A57"/>
    <w:rsid w:val="00EE69F3"/>
    <w:rsid w:val="00F354F4"/>
    <w:rsid w:val="00F4317F"/>
    <w:rsid w:val="00F47BC8"/>
    <w:rsid w:val="00F827EB"/>
    <w:rsid w:val="00FA61B1"/>
    <w:rsid w:val="00FE1A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F8F1"/>
  <w15:docId w15:val="{E01EC5F5-28C4-4F9B-B398-98F09438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D7A9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7A9B"/>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2D7A9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D7A9B"/>
    <w:rPr>
      <w:b/>
      <w:bCs/>
    </w:rPr>
  </w:style>
  <w:style w:type="character" w:styleId="a5">
    <w:name w:val="Emphasis"/>
    <w:basedOn w:val="a0"/>
    <w:uiPriority w:val="20"/>
    <w:qFormat/>
    <w:rsid w:val="002D7A9B"/>
    <w:rPr>
      <w:i/>
      <w:iCs/>
    </w:rPr>
  </w:style>
  <w:style w:type="character" w:styleId="a6">
    <w:name w:val="Hyperlink"/>
    <w:basedOn w:val="a0"/>
    <w:uiPriority w:val="99"/>
    <w:unhideWhenUsed/>
    <w:rsid w:val="002D7A9B"/>
    <w:rPr>
      <w:color w:val="0000FF"/>
      <w:u w:val="single"/>
    </w:rPr>
  </w:style>
  <w:style w:type="paragraph" w:styleId="a7">
    <w:name w:val="No Spacing"/>
    <w:uiPriority w:val="1"/>
    <w:qFormat/>
    <w:rsid w:val="001307EE"/>
    <w:pPr>
      <w:spacing w:after="0" w:line="240" w:lineRule="auto"/>
    </w:pPr>
  </w:style>
  <w:style w:type="character" w:styleId="a8">
    <w:name w:val="annotation reference"/>
    <w:basedOn w:val="a0"/>
    <w:uiPriority w:val="99"/>
    <w:semiHidden/>
    <w:unhideWhenUsed/>
    <w:rsid w:val="00E11AAE"/>
    <w:rPr>
      <w:sz w:val="16"/>
      <w:szCs w:val="16"/>
    </w:rPr>
  </w:style>
  <w:style w:type="paragraph" w:styleId="a9">
    <w:name w:val="annotation text"/>
    <w:basedOn w:val="a"/>
    <w:link w:val="aa"/>
    <w:uiPriority w:val="99"/>
    <w:semiHidden/>
    <w:unhideWhenUsed/>
    <w:rsid w:val="00E11AAE"/>
    <w:pPr>
      <w:spacing w:line="240" w:lineRule="auto"/>
    </w:pPr>
    <w:rPr>
      <w:sz w:val="20"/>
      <w:szCs w:val="20"/>
    </w:rPr>
  </w:style>
  <w:style w:type="character" w:customStyle="1" w:styleId="aa">
    <w:name w:val="Текст примітки Знак"/>
    <w:basedOn w:val="a0"/>
    <w:link w:val="a9"/>
    <w:uiPriority w:val="99"/>
    <w:semiHidden/>
    <w:rsid w:val="00E11AAE"/>
    <w:rPr>
      <w:sz w:val="20"/>
      <w:szCs w:val="20"/>
    </w:rPr>
  </w:style>
  <w:style w:type="paragraph" w:styleId="ab">
    <w:name w:val="Balloon Text"/>
    <w:basedOn w:val="a"/>
    <w:link w:val="ac"/>
    <w:uiPriority w:val="99"/>
    <w:semiHidden/>
    <w:unhideWhenUsed/>
    <w:rsid w:val="00E11AAE"/>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E11AAE"/>
    <w:rPr>
      <w:rFonts w:ascii="Segoe UI" w:hAnsi="Segoe UI" w:cs="Segoe UI"/>
      <w:sz w:val="18"/>
      <w:szCs w:val="18"/>
    </w:rPr>
  </w:style>
  <w:style w:type="paragraph" w:styleId="ad">
    <w:name w:val="annotation subject"/>
    <w:basedOn w:val="a9"/>
    <w:next w:val="a9"/>
    <w:link w:val="ae"/>
    <w:uiPriority w:val="99"/>
    <w:semiHidden/>
    <w:unhideWhenUsed/>
    <w:rsid w:val="00BC305A"/>
    <w:rPr>
      <w:b/>
      <w:bCs/>
    </w:rPr>
  </w:style>
  <w:style w:type="character" w:customStyle="1" w:styleId="ae">
    <w:name w:val="Тема примітки Знак"/>
    <w:basedOn w:val="aa"/>
    <w:link w:val="ad"/>
    <w:uiPriority w:val="99"/>
    <w:semiHidden/>
    <w:rsid w:val="00BC305A"/>
    <w:rPr>
      <w:b/>
      <w:bCs/>
      <w:sz w:val="20"/>
      <w:szCs w:val="20"/>
    </w:rPr>
  </w:style>
  <w:style w:type="paragraph" w:styleId="af">
    <w:name w:val="List Paragraph"/>
    <w:basedOn w:val="a"/>
    <w:uiPriority w:val="34"/>
    <w:qFormat/>
    <w:rsid w:val="00717B81"/>
    <w:pPr>
      <w:ind w:left="720"/>
      <w:contextualSpacing/>
    </w:pPr>
  </w:style>
  <w:style w:type="paragraph" w:styleId="af0">
    <w:name w:val="header"/>
    <w:basedOn w:val="a"/>
    <w:link w:val="af1"/>
    <w:uiPriority w:val="99"/>
    <w:unhideWhenUsed/>
    <w:rsid w:val="00BC561E"/>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BC561E"/>
  </w:style>
  <w:style w:type="paragraph" w:styleId="af2">
    <w:name w:val="footer"/>
    <w:basedOn w:val="a"/>
    <w:link w:val="af3"/>
    <w:uiPriority w:val="99"/>
    <w:unhideWhenUsed/>
    <w:rsid w:val="00BC561E"/>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BC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363">
      <w:bodyDiv w:val="1"/>
      <w:marLeft w:val="0"/>
      <w:marRight w:val="0"/>
      <w:marTop w:val="0"/>
      <w:marBottom w:val="0"/>
      <w:divBdr>
        <w:top w:val="none" w:sz="0" w:space="0" w:color="auto"/>
        <w:left w:val="none" w:sz="0" w:space="0" w:color="auto"/>
        <w:bottom w:val="none" w:sz="0" w:space="0" w:color="auto"/>
        <w:right w:val="none" w:sz="0" w:space="0" w:color="auto"/>
      </w:divBdr>
    </w:div>
    <w:div w:id="128984829">
      <w:bodyDiv w:val="1"/>
      <w:marLeft w:val="0"/>
      <w:marRight w:val="0"/>
      <w:marTop w:val="0"/>
      <w:marBottom w:val="0"/>
      <w:divBdr>
        <w:top w:val="none" w:sz="0" w:space="0" w:color="auto"/>
        <w:left w:val="none" w:sz="0" w:space="0" w:color="auto"/>
        <w:bottom w:val="none" w:sz="0" w:space="0" w:color="auto"/>
        <w:right w:val="none" w:sz="0" w:space="0" w:color="auto"/>
      </w:divBdr>
    </w:div>
    <w:div w:id="430131614">
      <w:bodyDiv w:val="1"/>
      <w:marLeft w:val="0"/>
      <w:marRight w:val="0"/>
      <w:marTop w:val="0"/>
      <w:marBottom w:val="0"/>
      <w:divBdr>
        <w:top w:val="none" w:sz="0" w:space="0" w:color="auto"/>
        <w:left w:val="none" w:sz="0" w:space="0" w:color="auto"/>
        <w:bottom w:val="none" w:sz="0" w:space="0" w:color="auto"/>
        <w:right w:val="none" w:sz="0" w:space="0" w:color="auto"/>
      </w:divBdr>
    </w:div>
    <w:div w:id="520752316">
      <w:bodyDiv w:val="1"/>
      <w:marLeft w:val="0"/>
      <w:marRight w:val="0"/>
      <w:marTop w:val="0"/>
      <w:marBottom w:val="0"/>
      <w:divBdr>
        <w:top w:val="none" w:sz="0" w:space="0" w:color="auto"/>
        <w:left w:val="none" w:sz="0" w:space="0" w:color="auto"/>
        <w:bottom w:val="none" w:sz="0" w:space="0" w:color="auto"/>
        <w:right w:val="none" w:sz="0" w:space="0" w:color="auto"/>
      </w:divBdr>
    </w:div>
    <w:div w:id="707218921">
      <w:bodyDiv w:val="1"/>
      <w:marLeft w:val="0"/>
      <w:marRight w:val="0"/>
      <w:marTop w:val="0"/>
      <w:marBottom w:val="0"/>
      <w:divBdr>
        <w:top w:val="none" w:sz="0" w:space="0" w:color="auto"/>
        <w:left w:val="none" w:sz="0" w:space="0" w:color="auto"/>
        <w:bottom w:val="none" w:sz="0" w:space="0" w:color="auto"/>
        <w:right w:val="none" w:sz="0" w:space="0" w:color="auto"/>
      </w:divBdr>
    </w:div>
    <w:div w:id="712117678">
      <w:bodyDiv w:val="1"/>
      <w:marLeft w:val="0"/>
      <w:marRight w:val="0"/>
      <w:marTop w:val="0"/>
      <w:marBottom w:val="0"/>
      <w:divBdr>
        <w:top w:val="none" w:sz="0" w:space="0" w:color="auto"/>
        <w:left w:val="none" w:sz="0" w:space="0" w:color="auto"/>
        <w:bottom w:val="none" w:sz="0" w:space="0" w:color="auto"/>
        <w:right w:val="none" w:sz="0" w:space="0" w:color="auto"/>
      </w:divBdr>
    </w:div>
    <w:div w:id="794056052">
      <w:bodyDiv w:val="1"/>
      <w:marLeft w:val="0"/>
      <w:marRight w:val="0"/>
      <w:marTop w:val="0"/>
      <w:marBottom w:val="0"/>
      <w:divBdr>
        <w:top w:val="none" w:sz="0" w:space="0" w:color="auto"/>
        <w:left w:val="none" w:sz="0" w:space="0" w:color="auto"/>
        <w:bottom w:val="none" w:sz="0" w:space="0" w:color="auto"/>
        <w:right w:val="none" w:sz="0" w:space="0" w:color="auto"/>
      </w:divBdr>
    </w:div>
    <w:div w:id="1071586639">
      <w:bodyDiv w:val="1"/>
      <w:marLeft w:val="0"/>
      <w:marRight w:val="0"/>
      <w:marTop w:val="0"/>
      <w:marBottom w:val="0"/>
      <w:divBdr>
        <w:top w:val="none" w:sz="0" w:space="0" w:color="auto"/>
        <w:left w:val="none" w:sz="0" w:space="0" w:color="auto"/>
        <w:bottom w:val="none" w:sz="0" w:space="0" w:color="auto"/>
        <w:right w:val="none" w:sz="0" w:space="0" w:color="auto"/>
      </w:divBdr>
    </w:div>
    <w:div w:id="1117799314">
      <w:bodyDiv w:val="1"/>
      <w:marLeft w:val="0"/>
      <w:marRight w:val="0"/>
      <w:marTop w:val="0"/>
      <w:marBottom w:val="0"/>
      <w:divBdr>
        <w:top w:val="none" w:sz="0" w:space="0" w:color="auto"/>
        <w:left w:val="none" w:sz="0" w:space="0" w:color="auto"/>
        <w:bottom w:val="none" w:sz="0" w:space="0" w:color="auto"/>
        <w:right w:val="none" w:sz="0" w:space="0" w:color="auto"/>
      </w:divBdr>
      <w:divsChild>
        <w:div w:id="2050497503">
          <w:marLeft w:val="0"/>
          <w:marRight w:val="0"/>
          <w:marTop w:val="0"/>
          <w:marBottom w:val="0"/>
          <w:divBdr>
            <w:top w:val="none" w:sz="0" w:space="0" w:color="auto"/>
            <w:left w:val="none" w:sz="0" w:space="0" w:color="auto"/>
            <w:bottom w:val="none" w:sz="0" w:space="0" w:color="auto"/>
            <w:right w:val="none" w:sz="0" w:space="0" w:color="auto"/>
          </w:divBdr>
        </w:div>
      </w:divsChild>
    </w:div>
    <w:div w:id="1322925627">
      <w:bodyDiv w:val="1"/>
      <w:marLeft w:val="0"/>
      <w:marRight w:val="0"/>
      <w:marTop w:val="0"/>
      <w:marBottom w:val="0"/>
      <w:divBdr>
        <w:top w:val="none" w:sz="0" w:space="0" w:color="auto"/>
        <w:left w:val="none" w:sz="0" w:space="0" w:color="auto"/>
        <w:bottom w:val="none" w:sz="0" w:space="0" w:color="auto"/>
        <w:right w:val="none" w:sz="0" w:space="0" w:color="auto"/>
      </w:divBdr>
    </w:div>
    <w:div w:id="1733311973">
      <w:bodyDiv w:val="1"/>
      <w:marLeft w:val="0"/>
      <w:marRight w:val="0"/>
      <w:marTop w:val="0"/>
      <w:marBottom w:val="0"/>
      <w:divBdr>
        <w:top w:val="none" w:sz="0" w:space="0" w:color="auto"/>
        <w:left w:val="none" w:sz="0" w:space="0" w:color="auto"/>
        <w:bottom w:val="none" w:sz="0" w:space="0" w:color="auto"/>
        <w:right w:val="none" w:sz="0" w:space="0" w:color="auto"/>
      </w:divBdr>
    </w:div>
    <w:div w:id="1796482254">
      <w:bodyDiv w:val="1"/>
      <w:marLeft w:val="0"/>
      <w:marRight w:val="0"/>
      <w:marTop w:val="0"/>
      <w:marBottom w:val="0"/>
      <w:divBdr>
        <w:top w:val="none" w:sz="0" w:space="0" w:color="auto"/>
        <w:left w:val="none" w:sz="0" w:space="0" w:color="auto"/>
        <w:bottom w:val="none" w:sz="0" w:space="0" w:color="auto"/>
        <w:right w:val="none" w:sz="0" w:space="0" w:color="auto"/>
      </w:divBdr>
    </w:div>
    <w:div w:id="1811943527">
      <w:bodyDiv w:val="1"/>
      <w:marLeft w:val="0"/>
      <w:marRight w:val="0"/>
      <w:marTop w:val="0"/>
      <w:marBottom w:val="0"/>
      <w:divBdr>
        <w:top w:val="none" w:sz="0" w:space="0" w:color="auto"/>
        <w:left w:val="none" w:sz="0" w:space="0" w:color="auto"/>
        <w:bottom w:val="none" w:sz="0" w:space="0" w:color="auto"/>
        <w:right w:val="none" w:sz="0" w:space="0" w:color="auto"/>
      </w:divBdr>
    </w:div>
    <w:div w:id="1824346044">
      <w:bodyDiv w:val="1"/>
      <w:marLeft w:val="0"/>
      <w:marRight w:val="0"/>
      <w:marTop w:val="0"/>
      <w:marBottom w:val="0"/>
      <w:divBdr>
        <w:top w:val="none" w:sz="0" w:space="0" w:color="auto"/>
        <w:left w:val="none" w:sz="0" w:space="0" w:color="auto"/>
        <w:bottom w:val="none" w:sz="0" w:space="0" w:color="auto"/>
        <w:right w:val="none" w:sz="0" w:space="0" w:color="auto"/>
      </w:divBdr>
    </w:div>
    <w:div w:id="1859464343">
      <w:bodyDiv w:val="1"/>
      <w:marLeft w:val="0"/>
      <w:marRight w:val="0"/>
      <w:marTop w:val="0"/>
      <w:marBottom w:val="0"/>
      <w:divBdr>
        <w:top w:val="none" w:sz="0" w:space="0" w:color="auto"/>
        <w:left w:val="none" w:sz="0" w:space="0" w:color="auto"/>
        <w:bottom w:val="none" w:sz="0" w:space="0" w:color="auto"/>
        <w:right w:val="none" w:sz="0" w:space="0" w:color="auto"/>
      </w:divBdr>
    </w:div>
    <w:div w:id="2005812772">
      <w:bodyDiv w:val="1"/>
      <w:marLeft w:val="0"/>
      <w:marRight w:val="0"/>
      <w:marTop w:val="0"/>
      <w:marBottom w:val="0"/>
      <w:divBdr>
        <w:top w:val="none" w:sz="0" w:space="0" w:color="auto"/>
        <w:left w:val="none" w:sz="0" w:space="0" w:color="auto"/>
        <w:bottom w:val="none" w:sz="0" w:space="0" w:color="auto"/>
        <w:right w:val="none" w:sz="0" w:space="0" w:color="auto"/>
      </w:divBdr>
    </w:div>
    <w:div w:id="2122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t.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2B295-1855-4AE0-93E2-857F4FDE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6378</Words>
  <Characters>3636</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Витвицька Тетяна Миколаївна</dc:creator>
  <cp:lastModifiedBy>Гринів Марія Романівна</cp:lastModifiedBy>
  <cp:revision>7</cp:revision>
  <dcterms:created xsi:type="dcterms:W3CDTF">2024-05-10T08:58:00Z</dcterms:created>
  <dcterms:modified xsi:type="dcterms:W3CDTF">2024-06-10T16:01:00Z</dcterms:modified>
</cp:coreProperties>
</file>